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93" w:rsidRPr="007314E4" w:rsidRDefault="00413554" w:rsidP="000C52D0">
      <w:pPr>
        <w:shd w:val="clear" w:color="auto" w:fill="EEECE1" w:themeFill="background2"/>
        <w:spacing w:line="276" w:lineRule="auto"/>
        <w:jc w:val="center"/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>Opis przedmiotu zamówienia</w:t>
      </w:r>
      <w:r w:rsidR="00532084" w:rsidRPr="007314E4">
        <w:rPr>
          <w:rFonts w:ascii="Century Gothic" w:hAnsi="Century Gothic"/>
          <w:b/>
        </w:rPr>
        <w:t xml:space="preserve"> </w:t>
      </w:r>
    </w:p>
    <w:p w:rsidR="0030642C" w:rsidRPr="007314E4" w:rsidRDefault="0030642C" w:rsidP="000C52D0">
      <w:pPr>
        <w:spacing w:line="276" w:lineRule="auto"/>
        <w:rPr>
          <w:rFonts w:ascii="Century Gothic" w:hAnsi="Century Gothic"/>
          <w:b/>
        </w:rPr>
      </w:pPr>
    </w:p>
    <w:p w:rsidR="0030642C" w:rsidRPr="0023621F" w:rsidRDefault="0030642C" w:rsidP="0023621F">
      <w:pPr>
        <w:spacing w:line="276" w:lineRule="auto"/>
        <w:ind w:left="2124" w:hanging="2124"/>
        <w:jc w:val="both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>Zadanie nr 1</w:t>
      </w:r>
      <w:r w:rsidR="00B77597" w:rsidRPr="007314E4">
        <w:rPr>
          <w:rFonts w:ascii="Century Gothic" w:hAnsi="Century Gothic"/>
          <w:b/>
        </w:rPr>
        <w:t xml:space="preserve"> </w:t>
      </w:r>
      <w:r w:rsidR="00B77597" w:rsidRPr="007314E4">
        <w:rPr>
          <w:rFonts w:ascii="Century Gothic" w:hAnsi="Century Gothic"/>
        </w:rPr>
        <w:t xml:space="preserve">- </w:t>
      </w:r>
      <w:r w:rsidR="00B77597" w:rsidRPr="007314E4">
        <w:rPr>
          <w:rFonts w:ascii="Century Gothic" w:hAnsi="Century Gothic"/>
        </w:rPr>
        <w:tab/>
      </w:r>
      <w:r w:rsidR="0023621F">
        <w:rPr>
          <w:rFonts w:ascii="Century Gothic" w:hAnsi="Century Gothic"/>
        </w:rPr>
        <w:t>Z</w:t>
      </w:r>
      <w:r w:rsidR="0023621F" w:rsidRPr="0023621F">
        <w:rPr>
          <w:rFonts w:ascii="Century Gothic" w:hAnsi="Century Gothic"/>
        </w:rPr>
        <w:t>akup tomografu komputerowego wraz z dostosowaniem pomieszczeń oraz niezbędnym wyposażeniem dla Wojewódzkiego Szpitala im. Św. Ojca Pio w Przemyślu</w:t>
      </w:r>
    </w:p>
    <w:p w:rsidR="00B77597" w:rsidRPr="007314E4" w:rsidRDefault="00B77597" w:rsidP="000C52D0">
      <w:pPr>
        <w:spacing w:line="276" w:lineRule="auto"/>
        <w:rPr>
          <w:rFonts w:ascii="Century Gothic" w:hAnsi="Century Gothic"/>
          <w:b/>
        </w:rPr>
      </w:pPr>
    </w:p>
    <w:p w:rsidR="00BD1E93" w:rsidRPr="007314E4" w:rsidRDefault="003B6D5B" w:rsidP="000C52D0">
      <w:pPr>
        <w:spacing w:line="276" w:lineRule="auto"/>
        <w:rPr>
          <w:rFonts w:ascii="Century Gothic" w:hAnsi="Century Gothic"/>
        </w:rPr>
      </w:pPr>
      <w:r w:rsidRPr="007314E4">
        <w:rPr>
          <w:rFonts w:ascii="Century Gothic" w:hAnsi="Century Gothic"/>
          <w:b/>
        </w:rPr>
        <w:t xml:space="preserve">Rozdział nr I - </w:t>
      </w:r>
      <w:r w:rsidR="00413554" w:rsidRPr="007314E4">
        <w:rPr>
          <w:rFonts w:ascii="Century Gothic" w:hAnsi="Century Gothic"/>
          <w:i/>
        </w:rPr>
        <w:t>Parametry techniczne i eksploatacyjne</w:t>
      </w:r>
    </w:p>
    <w:tbl>
      <w:tblPr>
        <w:tblW w:w="1529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5387"/>
        <w:gridCol w:w="1134"/>
        <w:gridCol w:w="4976"/>
        <w:gridCol w:w="2835"/>
      </w:tblGrid>
      <w:tr w:rsidR="00AE5B39" w:rsidRPr="007314E4" w:rsidTr="00753652">
        <w:trPr>
          <w:tblHeader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bookmarkStart w:id="0" w:name="OLE_LINK1"/>
            <w:r w:rsidRPr="007314E4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LP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b/>
                <w:sz w:val="16"/>
                <w:szCs w:val="20"/>
              </w:rPr>
              <w:t>Opis parametru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>Parametr / wartość / ilość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sz w:val="16"/>
                <w:szCs w:val="20"/>
              </w:rPr>
            </w:pPr>
            <w:r w:rsidRPr="007314E4">
              <w:rPr>
                <w:rFonts w:ascii="Century Gothic" w:hAnsi="Century Gothic"/>
                <w:b/>
                <w:bCs/>
                <w:sz w:val="16"/>
                <w:szCs w:val="20"/>
              </w:rPr>
              <w:t>Parametr oferowany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SPOSÓB OCENY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sz w:val="20"/>
                <w:szCs w:val="20"/>
              </w:rPr>
              <w:t>Tomograf komputerowy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b/>
                <w:bCs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WYMAGANIA OGÓLNE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(TK) nowy wyprodukowany w 2020 roku, nieużywany, nie rekondycjonowany, w najnowszej wersji sprzętowej  i  oprogramowania na dzień składania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całego ciała, umożliwiający uzyskanie min. 128 warstw badanego obszaru w czasie jednego pełnego obrotu układu lampa-detektor, posiadający detektor minimum 64 rzędowy w osi 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Tomograf komputerowy umożliwiający wykonanie pełnego zakresu badań klinicznych obejmującego: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 jak poniżej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badania klatki piersiowej, jamy brzusznej i miednicy wraz z wielofazowymi i dynamicznymi badaniami narządów tych obszarów anatomicznych,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klatki piersiowej w wysokiej rozdzielczości (HRCT),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rozedmy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guzków płuc,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mózgowia,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naczyń domózgowych, wewnątrzczaszkowych, dużych naczyń oraz naczyń obwodowych na odcinku  min. do 150 cm, wraz z automatyczną analizą ich przebiegu oraz oceną ilościową wymiarów z grubością warstwy &lt; 0,65 mm,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naczyń wieńcowych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akwizycję submilimetrową (&lt; 0,65 mm)  niewielkich struktur anatomicznych, takich jak narządy wewnątrz piramid kości skroniowych,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ortopedyczne,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wielourazowe w zakresie min. 150 cm,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dynamiczne badania angiograficzne,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dynamiczne badania perfuzji głowy w zakresie min. 120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pediatryczne wykonywane przy napięciu anodowym nie większym od 80kV,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badania pacjentów otyłych przy napięciu anodowym nie mniejszym od 135kV.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Niezależne konsole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:</w:t>
            </w:r>
          </w:p>
          <w:p w:rsidR="00AE5B39" w:rsidRPr="007314E4" w:rsidRDefault="00AE5B39" w:rsidP="00753652">
            <w:pPr>
              <w:spacing w:before="20" w:after="20" w:line="276" w:lineRule="auto"/>
              <w:ind w:left="116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konsola operatorska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GANTRY i STÓŁ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Średnica otworu gantry  [cm]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 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FF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Kąt pochylania gantry [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º]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trike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lastRenderedPageBreak/>
              <w:t>&gt;= (+/-) 30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gantry i stołu z min. 2 stron lub z dowolnego miejsca w pokoju badań za pomocą mobilnego urządzenia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Sterowanie ruchami stołu za pomocą przycisków nożnych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Automatyczne pozycjonowanie stołu – ustawianie pozycji referencyjnej po wybraniu na panelu sterującym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filmów instruktażowych dla pacjenta na monitorze umieszczonym na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  <w:highlight w:val="green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Tryb badań nagłych – wybór pacjenta, protokołu badania z listy  i uruchomienie badania bezpośrednio z gantry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  <w:highlight w:val="green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pkt., nie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Wskaźnik zatrzymania oddechu oraz możliwość nagrywania poleceń słownych w języku polskim i automatyczne ich odtwarzanie w zależności od protokołów badań.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Maksymalne dopuszczalne obciążenie stołu, dla precyzji pozycjonowania ± 0,25 mm, nie mniejsze niż 220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250 [kg] i więcej – 1 pkt., mniejsze wartości – 0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Wyposażenie stołu w: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materac,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podpórkę pod głowę pozbawioną elementów metalowych,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podpórka pod kolana,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pasy lub listwy unieruchamiające 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podpórka pod głowę i ręce </w:t>
            </w:r>
          </w:p>
          <w:p w:rsidR="00AE5B39" w:rsidRPr="007314E4" w:rsidRDefault="00AE5B39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osłona stołu chroniąca przed zalaniem płynami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Moduł synchronizacji akwizycji z przebiegiem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GENERATOR, LAMPA RTG I DETEKTOR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Maksymalna moc generatora [kW] nie wynikająca z przeliczeń na podstawie algorytmów poprawiających jakość obraz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 72 [kW]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72 kW –  0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 xml:space="preserve"> Poniżej 100 kW – 2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 xml:space="preserve">&gt;= 100kW – 5 pkt. 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Minimalne napięcie anodowe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≤ 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Maksymalne napięcie anodowe, możliwe do zastosowania w protokołach badań [kV]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≥ 135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Maksymalny prąd anody, możliwy do zastosowania w protokołach badań [mA]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≥ 400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Modulacja prądu anody w czasie rzeczywistym, jednocześnie w osiach x,y,z.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Rzeczywista pojemność cieplna anody lampy rtg [MHU]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&gt;=7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szybkość chłodzenia anody lampy [kHU/min]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&gt;=780 MHU/min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Liczba ognisk lampy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Automatyczny wybór ognisk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Detektory typu stałego – liczba rzędów detektora min. 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Szerokość detektora w osi Z odniesiona do izocentrum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&gt;=38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Liczba aktywnych elementów detektora w płaszczyźnie xy (dla 1 rzędu w osi z)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lastRenderedPageBreak/>
              <w:t>&gt;800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Odległość ognisko lampy rtg – detektor mniejsza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&lt;=100 cm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100 cm – 0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99,9 – 95 cm – 2 pkt.,</w:t>
            </w:r>
          </w:p>
          <w:p w:rsidR="00AE5B39" w:rsidRPr="007314E4" w:rsidRDefault="00AE5B3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Poniżej 95 cm – 5 pkt.</w:t>
            </w:r>
          </w:p>
        </w:tc>
      </w:tr>
      <w:tr w:rsidR="00AE5B3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SYSTEM SKANOWANIA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B39" w:rsidRPr="007314E4" w:rsidRDefault="00AE5B3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Najkrótszy czas pełnego </w:t>
            </w: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obrotu (360º ) układu lampa rtg – detektor [s]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≤ 0,35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Maksymalna szybkość skanowania [mm/s]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170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Grubość najcieńszej dostępnej warstwy rekonstruowanej z akwizycji wielowarstowej z maksymalną ilością warstw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≤ 0,65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Maksymalny zakres badania przy ciągłym skanie spiralnym/helikalnym, bez przerwy na chłodzenie lampy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180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180 cm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181 – 185 cm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&gt;185 cm – 5 cm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Dynamiczny kolimator ograniczający dawkę promieniowania w osi Z na początku i na końcu skanu spiralnego.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Maksymalna wartość współczynnika pitch przy akwizycji min. 64 warstw w korekcją stożka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&gt;=1,5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Długość skanu topograficznego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  <w:r w:rsidRPr="007314E4">
              <w:rPr>
                <w:rFonts w:ascii="Century Gothic" w:hAnsi="Century Gothic"/>
                <w:sz w:val="16"/>
                <w:szCs w:val="20"/>
              </w:rPr>
              <w:t xml:space="preserve"> &gt;=150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Wyświetlanie topogramu w czasie rzeczywistym z możliwością jego zatrzymania w dowolnym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Maksymalne, rekonstruowane pole obrazowania FOV [cm]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50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Mozliwość rekonstrukcji pola obrazowania powyżej 50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Matryca rekonstrukcyjna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Min. 512x512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Matryca prezentacyjna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Min. 1024x1024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Rozdzielczość wysokokontrastowa w płaszczyźnie x,y, mierzona w polu akwizycyjnym FOV=50 cm w punkcie 50% charakterystyki MTF.[pl/cm]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≥ 12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11 – 12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12 – 5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Rozdzielczość niskokontrastowa przy różnicy gęstości 3 HU, określona dla najkrótszego skanu pełnego zmierzona na fantomie CATHPAN o średnicy 20 cm, dla napięcia ≥ 120 kV, dla warstwy 10 mm [mm]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≤ 5 mm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Szybkość rekonstrukcji obrazów w matrycy 512 x 512 [obrazy/s].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pacing w:before="20" w:after="20"/>
              <w:jc w:val="center"/>
              <w:rPr>
                <w:rFonts w:ascii="Century Gothic" w:hAnsi="Century Gothic" w:cs="Arial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16"/>
                <w:szCs w:val="20"/>
              </w:rPr>
              <w:t>≥ 20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21 – 40 – 1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40 – 2 pkt.,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Niskodawkowy, iteracyjny algorytm przetwarzający dane surowe (RAW) oraz redukujący szum w obszarze obrazu, umożliwiający redukcję dawki o co najmniej 60% </w:t>
            </w: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możliwy do wykorzystania dla każdego trybu pracy, każdego rodzaju badania oraz każdego czasu skanowania.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60 – 0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61 – 80 – 2 pkt.,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Powyżej 80 – 5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Dedykowany algorytm do usuwania artefaktów od metalu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KONSOLA OPERATORSKA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20"/>
                <w:szCs w:val="20"/>
              </w:rPr>
              <w:t>Stanowisko operatorskie - dwumonitorowa konsola akwizycyjna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Przekątna kolorowego monitora z aktywną matrycą ciekłokrystaliczną typu Flat ["]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&gt;=19’’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Pojemność dysku twardego dla obrazów bez kompresji (512x512), wyrażona liczbą obrazów.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&gt;=  300 000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Bezpośrednia rekonstrukcja warstw MPR bez konieczności wstępnej rekonstrukcji cienkich warstw aksjalnych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Archiwizacja badań pacjentów na CD-R i DVD w standardzie DICOM 3.0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Dwukierunkowy interkom do komunikacji głosowej z pacjentem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Interfejs sieciowy zgodnie z DICOM 3.0 z następującymi klasami serwisowymi: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Send/Receive            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Basic Print                                                                                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Query/ Retrieve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Storage Commitment  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- Worklist ,</w:t>
            </w:r>
          </w:p>
          <w:p w:rsidR="00FA4D9D" w:rsidRPr="007314E4" w:rsidRDefault="00FA4D9D" w:rsidP="00753652">
            <w:pPr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-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>Structured Dose Report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Sterowanie dostarczoną automatyczną strzykawką. Sprzężenie min. klasy I wg. CiA 425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OPROGRAMOWANIE ZAINSTALOWANE NA KONSOLI OPERATORSKIEJ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Rekonstrukcje 2D,3D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Rekonstrukcje MPR (również skośne i krzywoliniowe z danych zbieranych przy dowolnym kącie gantry)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Prezentacje cine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  <w:lang w:eastAsia="ar-SA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Pomiary geometryczne (długości / kątów /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powierzchni / objętości)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napToGrid w:val="0"/>
              <w:spacing w:before="20" w:after="20"/>
              <w:jc w:val="both"/>
              <w:rPr>
                <w:rFonts w:ascii="Century Gothic" w:hAnsi="Century Gothic"/>
                <w:sz w:val="20"/>
                <w:szCs w:val="20"/>
                <w:lang w:eastAsia="ar-SA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Pomiary analityczne (pomiar poziomu gęstości, profile gęstości, analiza skanu dynamicznego).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Wielozadaniowość/wielodostęp, w tym możliwość automatycznej rekonstrukcji, archiwizacji i dokumentacji w tle (w trakcie skanowania).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Oprogramowanie do synchronizacji startu badania spiralnego na podstawie automatycznej analizy napływu środka cieniującego w zadanej warstwie bez wykonywania wstrzyknięć testowych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Kompletny zestaw protokołów do badania wszystkich obszarów anatomicznych , z możliwością ich projektowania i zapamiętywania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/>
                <w:sz w:val="20"/>
                <w:szCs w:val="20"/>
              </w:rPr>
              <w:t>Specjalistyczny algorytm do usuwania artefaktów od metalu i protez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Automatyczne, bez udziału operatora, ustawianie zakresu badania, dla danego pacjenta, na podstawie znaczników anatomicznych topogramu i wybranego protokołu badania </w:t>
            </w:r>
          </w:p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Lub</w:t>
            </w:r>
          </w:p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pozycjonowanie pacjenta do określonej na gantry pozycji anatomicznej (min. 3 pozycje)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2 pkt,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alarmowanie obsługi o możliwości przekroczenia dawki referencyjnej w danym badaniu (przed wykonaniem badania).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skanowania wyzwalanego impulsami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ładownie obrazów wielofazowych, przeglądanie danych i wybieranie fazy lub faz do dalszego przetwarzania już bez faz nie mających znaczenia diagnostycznego, rejestrację obrazów z różnych faz cyklu serca w specjalnym zbiorze danych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Modulowanie promieniowania RTG sygnałem EKG </w:t>
            </w: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lastRenderedPageBreak/>
              <w:t>przy obrazowaniu tętnic wieńcowych w czasie skanu spiralnego.(pełna dawka w wyznaczonych fazach pracy serca, obniżona w pozostałych)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uppressAutoHyphens/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Automatyczne, bez udziału operatora, ustawianie nachylenia płaszczyzn rekonstrukcji obrazu kręgów i numerowanie kręgów kręgosłupa w badaniach odcinkowych jak i całego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– 1 pkt,</w:t>
            </w:r>
          </w:p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oceny perfuzji mózgu umożliwiające ocenę ilościową i jakościową (mapy barwne) co najmniej następujących parametrów: rBF (miejscowy przepływ krwi), rBV (miejscowa objętość krwi) oraz TTP (czas do szczytu krzywej wzmocnienia) i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Oprogramowanie do usuwania artefaktów pochodzących od metalowych obiektów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Serwer aplikacyjny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6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7314E4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Rozbudowa serwera będącego w posiadaniu Zamawiającego lub dostawa nowego serwera o poniższych parametrach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Rozbudowa serwera o funkcjonalności z </w:t>
            </w:r>
            <w:r w:rsidRPr="007314E4">
              <w:rPr>
                <w:rFonts w:ascii="Century Gothic" w:hAnsi="Century Gothic"/>
                <w:b/>
                <w:sz w:val="20"/>
                <w:szCs w:val="20"/>
              </w:rPr>
              <w:t>pkt. 81 – 123</w:t>
            </w:r>
            <w:r w:rsidRPr="007314E4">
              <w:rPr>
                <w:rFonts w:ascii="Century Gothic" w:hAnsi="Century Gothic"/>
                <w:sz w:val="20"/>
                <w:szCs w:val="20"/>
              </w:rPr>
              <w:t xml:space="preserve"> po 1 jednoczasowej licencji dla typu oprogramowania oraz jedno stanowisko lekarskie – konsola zależna wyposażona w min. 1 monitor medyczny o przekątnej min. 30” i monitor opisowy min. 19”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1"/>
                <w:numId w:val="26"/>
              </w:numPr>
              <w:spacing w:before="20" w:after="20"/>
              <w:ind w:left="360" w:hanging="36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NormalnyWeb"/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Dostawa nowego serwera lub układu serwerów aplikacyjnych o poniższych parametrach wraz z jednym jednoczasowym dostępem dla funkcjonalności z pkt. </w:t>
            </w:r>
            <w:r w:rsidRPr="007314E4">
              <w:rPr>
                <w:rFonts w:ascii="Century Gothic" w:hAnsi="Century Gothic"/>
                <w:b/>
                <w:sz w:val="20"/>
                <w:szCs w:val="20"/>
              </w:rPr>
              <w:t>75 – 123</w:t>
            </w:r>
            <w:r w:rsidRPr="007314E4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liczba procesorów: min. 2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pamięć RAM: min. 64 GB 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wbudowana macierz w konfiguracji RAID 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pojemności macierzy: min. 2 TB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ind w:left="714" w:hanging="35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>serwer umożliwiający jednoczesne przetwarzanie min. 40 000 warstw</w:t>
            </w:r>
          </w:p>
          <w:p w:rsidR="00FA4D9D" w:rsidRPr="007314E4" w:rsidRDefault="00FA4D9D" w:rsidP="00753652">
            <w:pPr>
              <w:pStyle w:val="NormalnyWeb"/>
              <w:numPr>
                <w:ilvl w:val="0"/>
                <w:numId w:val="27"/>
              </w:numPr>
              <w:spacing w:before="20" w:beforeAutospacing="0" w:after="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trzy stanowiska lekarskie – konsole zależne </w:t>
            </w:r>
            <w:r w:rsidRPr="007314E4">
              <w:rPr>
                <w:rFonts w:ascii="Century Gothic" w:hAnsi="Century Gothic"/>
                <w:color w:val="000000"/>
                <w:sz w:val="20"/>
                <w:szCs w:val="20"/>
              </w:rPr>
              <w:lastRenderedPageBreak/>
              <w:t>wyposażone w min. 1 monitor medyczny o przekątnej min. 30” i monitor opisowy min. 19"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sz w:val="20"/>
                <w:szCs w:val="20"/>
              </w:rPr>
              <w:t>Oprogramowanie serwera aplikacyjnego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FF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Interfejs sieciowy zgodnie z DICOM 3.0 obsługujący następujące klasy serwisowe:                                    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Send / Receive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Basic Print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Query / Retrieve</w:t>
            </w:r>
          </w:p>
          <w:p w:rsidR="00FA4D9D" w:rsidRPr="007314E4" w:rsidRDefault="00FA4D9D" w:rsidP="00753652">
            <w:pPr>
              <w:numPr>
                <w:ilvl w:val="0"/>
                <w:numId w:val="28"/>
              </w:numPr>
              <w:suppressAutoHyphens/>
              <w:spacing w:before="20" w:after="20"/>
              <w:ind w:left="266" w:hanging="21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Storage Commitment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MIP (Maximum Intensity Projection)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SSD (Surface Shaded Display)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VRT (Volume Rendering Technique)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Pomiary odległości, kąta, powierzchni, objętości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Reformatowanie wielopłaszczyznowe (MPR), rekonstrukcje wzdłuż dowolnej prostej (równoległe lub promieniste) lub po krzywej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segmentacji i ekstrakcji struktur kostnych typu „bone removal”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równoważne</w:t>
            </w:r>
            <w:r w:rsidRPr="007314E4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oznaczania kręgów kręgosłupa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generowanie obrysu 3D kręgów kręgosłupa i tworzenia widoków MPR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generowanie widoków skośnych, prostopadłych do trzonów kręgów i przestrzeni międzytrzonowych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z pkt. 9 - 11  możliwe do stosowania w każdym rodzaju badania: urazowym, onkologicznym, badaniu samego kręgosłupa czy obrazowaniu ogólnym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z pkt. 9 - 11 z funkcją ręcznego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wstawiania, edytowania oraz usuwania etykiet trzonów kręgów według potrzeby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angiografii CT umożliwiające automatyczną identyfikację i izolację zakontrastowanego naczynia z objętości badanej (rozwinięcie wzdłuż linii centralnej naczynia, z pomiarem średnicy, pola przekroju w płaszczyźnie prostopadłej do osi naczynia, automatyczne wyznaczanie stenozy)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Segmentacja zmian ogniskowych w narządach miąższowych umożliwiająca pomiar średnicy, objętości i gęstości zmiany oraz umożliwiające porównanie zmian ogniskowych bieżącego badania z poprzednim badaniem tego samego pacjenta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automatycznej segmentacji 3D i oceny krwiaków w mózgu wraz z automatycznym obliczaniem objętości krwiaka oraz jego krótkiej i długiej osi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segmentacji 3D i oceny tętniaków w mózgu wraz z automatycznym obliczaniem objętości tętniaka, minimalnej i maksymalnej długości tętniaka oraz maksymalnej i minimalnej średnicy szyjki tętniaka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perfuzji mózgu umożliwiająca ocenę ilościową i jakościową (mapy barwne) co najmniej następujących parametrów: rBF (miejscowy przepływ krwi), rBV (miejscowa objętość krwi) oraz TTP (czas do szczytu krzywej wzmocnienia) lub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Badania perfuzji mózgu oraz guzów mózgu z funkcją klasyfikacji tkankowej polegającej na segmentacji regionów niedokrwiennych mózgu na podstawie map przepływu i objętości krwi.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perfuzji mózgu umożliwiające ocenę ilościową i jakościową (mapy barwne) parametru IRF T0 (opóźnienie napływu kontrastu).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Wizualizacja map perfuzyjnych mózgowia w 3D i VRT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perfuzji wątroby umożliwiające ocenę ilościową i jakościową (mapy barwne) co najmniej następujących parametrów: rBF (miejscowy przepływ krwi), rBV (miejscowa objętość krwi) oraz TTP (czas do szczytu krzywej wzmocnienia) lub MTT (średni czas przejścia)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Dedykowane, zorientowane tkankowo protokoły do oceny perfuzji następujących organów: nerek, śledziony, prostaty, kości itd.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oceny zmian ogniskowych w płucach, z automatyczną identyfikacją zmian guzkowych w miąższu i przyopłucnowych przez program komputerowy, z możliwością zapamiętywania położenia zmian, oceną dynamiki wielkości zmian i rozróżnianiem charakteru guza (np. lity, częściowo lity, nie lity)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Specjalistyczne oprogramowanie do diagnostyki chorób płuc (m.in. COPD) umożliwiające obliczanie rozedmy  i analizę dróg oddechowych.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Segmentacja wszystkich pięciu płatów płuc i automatyczne obliczanie rozedmy w poszczególnych płatach płuc.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umożliwiające za pomocą jednego kliknięcia dokonanie pomiarów grubości ścian poszczególnych dróg oddechowych oraz średnicy ich światła wraz z prezentacją zewnętrznych i wewnętrznych konturów tych ścian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do oceny zwapnień naczyń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 xml:space="preserve">wieńcowych typu Calcium Score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u w:val="single"/>
              </w:rPr>
              <w:t>lub równoważny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umożliwiające badanie naczyń wieńcowych (automatyczne odrzucanie tkanek otaczających serce, automatyczna wizualizacja całego wybranego naczynia wieńcowego – przekroje poprzeczne, przekroje podłużne, przebieg naczynia, wyznaczanie stenozy).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pozwalające 1-kliknięciem na wyodrębnianie, renderowanie i wyświetlanie obrazów 2D/3D drzewa naczyń wieńcowych z automatycznym śledzeniem naczyń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przetwarzania obrazów, służący do oceny morfologii serca, żywotności tętnic wieńcowych, perfuzji względnej, drożności przeszczepów naczyniowych omijających, przeprowadzania badań kontrolnych po interwencjach i oceny czynnościowej.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zaznaczające kolorem obszary hypoperfuzyjne, umożliwiające wykrywanie choroby niedokrwiennej serca.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reformatowania standardowych osiowych obrazów TK jednej lub kilku faz cyklu pracy serca w widokach osi krótkiej, długiej i długiej na dwie jamy serca w celu ułatwienia przeglądu.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przeprowadzania 1- kliknięciem ocen czynności serca na sekwencjach Cine obejmujących obrazy wielu faz cyklu pracy serca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określające wartości HU składników płytki miażdżycowej i tworzące mapę barwną z możliwością dostosowania kolorów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Oprogramowanie pozwalające uzyskać z 1-klikniecia widok angiograficzny, ukazujący obraz drzewa naczyń wieńcowych i mięśnia sercowego z automatycznym usunięciem jam serca w celu </w:t>
            </w:r>
            <w:r w:rsidRPr="007314E4">
              <w:rPr>
                <w:rFonts w:ascii="Century Gothic" w:hAnsi="Century Gothic"/>
                <w:sz w:val="20"/>
                <w:szCs w:val="20"/>
              </w:rPr>
              <w:lastRenderedPageBreak/>
              <w:t>wyświetlenia widoku porównawczego na potrzeby cewnikowania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tworzenia przezroczystego modelu serca i umożliwiające wizualizację tętnic wieńcowych względem jam serca, z możliwością stopniowego usuwania jam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wyświetlające z 1-klikniecia widoki 4D zastawki aorty i zastawki mitralnej.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automatycznego wyodrębniania lewej komory z wyborem ES i ED do pomiarów frakcji wyrzutowej i objętości.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tworzenia reformatów ukośnych pozwalających uzyskać widoki pod standardowymi kątami cewnikowania w celu ułatwienia analizy naczyń wieńcowych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rejestrowania obrazów z różnych faz cyklu pracy serca do unikatowego połączonego zestawu danych, który można zapisać jako obiekt 3D lub wykorzystać do dalszej analizy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Możliwość uwidocznienia tętnic wieńcowych w prezentacji typu IVUS (wewnątrznaczyniowe badanie ultrasonograficzne) z oceną morfologii i lokalizacji blaszki miażdżycowej.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kolonografii i kolonoskopii TK, umożliwiające w pełni swobodne poruszanie się w obrębie jelita, umożliwiające jednoczesną prezentację wnętrza jelita i projekcji przekrojów w trzech głównych płaszczyznach. Interaktywna zmiana położenia kursora we wszystkich oknach wymienionych w punkcie powyżej. Automatyczna detekcja polipów w obrębie jelita grubego.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wirtualnej dysekcji jelita grubego i prezentacji w postaci jednej wstęgi rozłożonej na płaszczyźnie.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Automatyczne oznaczanie i usuwanie obrazu resztek kałowych z obrazu jelita.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Jednoczesne automatyczne porównanie kilku zestawów danych tego samego pacjenta (np.: porównania badań wykonanych w tym samym dniu w różnych fazach lub porównanie badań wykonanych w znaczącym odstępie czasowym) z możliwością synchronizacji przestrzennej oraz możliwością powiązania i oceny zmian tych samych obszarów anatomicznych w czasie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segmentacji zmian ogniskowych z automatycznym wyznaczaniem parametrów: max średnicy, objętości, średniej gęstości wraz z odchyleniem standardowym zgodnie z kryteriami WHO, RECIST1.0, RECIST1.1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 xml:space="preserve">Tworzenie własnych kryteriów onkologicznych oceny zmian ogniskowych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Oprogramowanie do automatycznej fuzji obrazów różnych energii oraz obrazów z różnych systemów diagnostycznych: CT/MR, CT/PET, CT/SPECT, itp.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Normal9pt"/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Wstrzykiwacz kontrastu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pacing w:before="20" w:after="20" w:line="276" w:lineRule="auto"/>
              <w:ind w:left="360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FA4D9D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FA4D9D" w:rsidRPr="007314E4" w:rsidRDefault="00FA4D9D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Automatyczny bezwkładowy wstrzykiwacz kontrastu współpracujący z materiałami zużywalnymi o sterylności przez 24 godziny, z wykorzystaniem wyłącznie materiałów eksploatacyjnych nie zawierających związków DEHP (ftalanydietylohekylu).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Sterowanie dostarczonym wstrzykiwaczem bezpośrednio z konsoli tomografu komputerowego, w tym możliwość programowania i zapamiętywania parametrów wstrzykiwacza bezpośrednio w protokole badania TK na konsoli operatorskiej -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sprzężenie tomografu z oferowanym wstrzykiwaczem min. kl. </w:t>
            </w:r>
            <w:r w:rsidRPr="007314E4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I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>zgodnie z CiA 425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Możliwość pracy na zasilaniu bateryjnym, bezprzewodowe połączenie z terminalem sterującym w oparciu o standard bluetooth.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Automatyczny raport dotyczący rzeczywistych parametrów kontrastu (co najmniej objętość, szybkość wstrzyknięcia, opóźnienie) jaką otrzymał pacjent w każdej serii dołączany do badania w postaci dodatkowej serii DICOM  z możliwością jego zapamiętania  i wydruku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Tak - 1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Nie – 0 pkt.,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29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Koszt netto materiałów jednorazowych „KMJ” w </w:t>
            </w:r>
            <w:r w:rsidRPr="007314E4">
              <w:rPr>
                <w:rFonts w:ascii="Century Gothic" w:hAnsi="Century Gothic" w:cs="Arial"/>
                <w:b/>
                <w:sz w:val="20"/>
                <w:szCs w:val="20"/>
              </w:rPr>
              <w:t>zł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 do oferowanej strzykawki automatycznej, w przeliczeniu na jednego pacjenta, przy wykonywaniu 20 badań z kontrastem. </w:t>
            </w: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Podać dokładne wyliczenia na podstawie, których otrzymano końcowy KMJ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KMJ: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 xml:space="preserve"> &lt; 14,00 zł – 3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14,01 – 17,00 zł – 2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17,01 – 20,00 zł – 1 pkt.,</w:t>
            </w:r>
          </w:p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7314E4">
              <w:rPr>
                <w:rFonts w:ascii="Century Gothic" w:hAnsi="Century Gothic"/>
                <w:color w:val="auto"/>
                <w:sz w:val="16"/>
                <w:szCs w:val="20"/>
              </w:rPr>
              <w:t>&gt;20,00 zł – 0 pkt.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Wyposażenie dodatkowe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Monitor EKG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Monitor zintegrowany z tomografempozwalający na bramkowanie akwizycji promieniowania sygnałem EKG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firmowych fantomów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Zestaw firmowych fantomów serwisowych do kalibracji i kontroli jakości obrazowania  - 1 zestaw</w:t>
            </w:r>
          </w:p>
          <w:p w:rsidR="00736D44" w:rsidRPr="007314E4" w:rsidRDefault="00736D44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sz w:val="20"/>
                <w:szCs w:val="20"/>
              </w:rPr>
              <w:t xml:space="preserve">Uwaga – </w:t>
            </w:r>
            <w:r w:rsidRPr="007314E4">
              <w:rPr>
                <w:rFonts w:ascii="Century Gothic" w:hAnsi="Century Gothic" w:cs="Arial Narrow"/>
                <w:sz w:val="20"/>
                <w:szCs w:val="20"/>
              </w:rPr>
              <w:t>Fantomy zgodne z Rozporządzeniem Ministra Zdrowia z dn. 18.02.2018 r. w sprawie bezpiecznego stosowania promieniowania jonizującego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Interkom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Interkom 2-kierunkowy sterownia-sala badań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biurko/blat roboczy pod konsolę operatorską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-113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biurko/blat roboczy pod konsolę operatorską kompatybilne z dostarczoną konsolą operatorską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Regał na akcesoria 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73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Regał na akcesoria TK umożliwiający poukładanie dostarczonego wyposażenia w tym, zestawów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firmowych fantomów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0"/>
                <w:numId w:val="30"/>
              </w:numPr>
              <w:spacing w:before="20" w:after="2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Zestaw środków ochrony osobistej przed promieniowaniem RTG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Damskie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Męskie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Dziecięce osłony radiologiczne na gonady o wsp. pochłanialności promieniowania = 1 mm Pb; rozm. "L" 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niecieniująca na tarczycę lateksowa powlekana bizmutem do TK - 1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36D44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kołnierz na tarczycę o wsp. pochłanialności promieniowania = 0,5 mm Pb;  w rozm. "L"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44" w:rsidRPr="007314E4" w:rsidRDefault="00736D44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źrenicę oczu – 1 kpl. =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niecieniująca osłona lateksowa pokryta bizmutem do TK na piersi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osłona pediatryczna niecieniująca z wkładką z pianki o gr. 10 mm - 1 szt. (rozmiar - dzieci do 5-go roku życia)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osłona do ochrony głowy o wsp. 0,5 mm Pb wokół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głowy i 0,25 Pb od góry;  - 1 kpl. = 2 szt. rozm. M + 1 szt. rozm.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ochronny dla dzieci dwustronny typu Poncho o wsp. pochłanialności promieniowania = 0,5/0,5 mm Pb - rozm. 46x60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ochronny dla dorosłych dwustronny typu Poncho o wsp. pochłanialności promieniowania = 0,5/0,5 mm Pb – rozm. L –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1"/>
                <w:numId w:val="30"/>
              </w:numPr>
              <w:spacing w:before="20" w:after="20"/>
              <w:ind w:left="432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fartuch typu koc - 200 cm na 60 cm. do owinięcia pacjentów z rzepami mocującymi o wsp. pochłanialności promieniowania = 1 mm Pb; - 1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color w:val="000000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ind w:left="360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ind w:left="-70"/>
              <w:jc w:val="both"/>
              <w:rPr>
                <w:rFonts w:ascii="Century Gothic" w:hAnsi="Century Gothic" w:cs="Arial Narrow"/>
                <w:b/>
                <w:bCs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D153C5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 xml:space="preserve">SPRZĘT KOMPUTEROWY / PRACA W SIECIACH INFORMATYCZNYCH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53C5" w:rsidRPr="007314E4" w:rsidRDefault="00D153C5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Oferowane urządzenia posiadają  możliwość współpracy ze szpitalnymi sieciami informatycznymi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Aktualizacja oprogramowania zainstalowanego w dostarczonych urządzeniach w okresie trwania gwarancji – bez dodatkowych kosztów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Do wszystkich dostarczonych urządzeń, w tym informatycznych (komputery, stacje robocze, itp.) </w:t>
            </w:r>
            <w:r w:rsidRPr="007314E4"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>oraz oprogramowania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zostaną dołączone hasła administracyjne (o ile występują), które umożliwią dostęp do serwisu wybranego przez Zamawiającego po upływie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  <w:r w:rsidRPr="007314E4">
              <w:rPr>
                <w:rFonts w:ascii="Century Gothic" w:hAnsi="Century Gothic"/>
                <w:color w:val="000000" w:themeColor="text1"/>
              </w:rPr>
              <w:t xml:space="preserve">Wykonawca gwarantuje, że przyszła integracja </w:t>
            </w:r>
            <w:r w:rsidRPr="007314E4">
              <w:rPr>
                <w:rFonts w:ascii="Century Gothic" w:hAnsi="Century Gothic"/>
                <w:bCs/>
                <w:color w:val="000000" w:themeColor="text1"/>
                <w:lang w:eastAsia="pl-PL"/>
              </w:rPr>
              <w:t>dostarczonego zestawu urządzeń z systemami RIS  i PACS nie będzie wymagała dodatkowych opłat. Przyszła integracja zapewni co najmniej archiwizację badań, obsługę list roboczych, utworzenie w systemach nowej pracowni i konfigurację aparatury z systemami RIS/PACS.</w:t>
            </w:r>
          </w:p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color w:val="000000" w:themeColor="text1"/>
                <w:lang w:eastAsia="pl-PL"/>
              </w:rPr>
            </w:pPr>
          </w:p>
          <w:p w:rsidR="00353E10" w:rsidRPr="007314E4" w:rsidRDefault="00353E10" w:rsidP="00753652">
            <w:pPr>
              <w:pStyle w:val="Lista-kontynuacja22"/>
              <w:snapToGrid w:val="0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</w:pPr>
            <w:r w:rsidRPr="007314E4">
              <w:rPr>
                <w:rFonts w:ascii="Century Gothic" w:hAnsi="Century Gothic"/>
                <w:bCs/>
                <w:i/>
                <w:color w:val="000000" w:themeColor="text1"/>
                <w:lang w:eastAsia="pl-PL"/>
              </w:rPr>
              <w:t>UWAGA – jako spełnienie warunku oczekuje się zagwarantowania bezkosztowej integracji ze strony wykonawcy w postaci otwarcia bramki i nawiązania połączenia z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>Dostarczony zestaw umożliwia dodawanie dodatkowych węzłów DICOM C-STORE (np. stacje diagnostyczne, roboty nagrywające, inne repozytoria badań) bez ponoszenia dodatkowych opłat. Operacja dodawania węzłów powinna być możliwa do przeprowadzenia przez przeszkolonych pracowników Zamawiającego.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 xml:space="preserve">Wszystkie tory transmisyjne wykonane przez </w:t>
            </w:r>
            <w:r w:rsidRPr="007314E4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lastRenderedPageBreak/>
              <w:t>Wykonawcę oparte o okablowanie strukturalne będą wykonane w klasie E lub wyżej (komponenty Kat. 6 lub wyżej). Poprawność wykonania instalacji zostanie udokumentowana stosownymi pomiarami każdego toru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 xml:space="preserve">Tak, podać </w:t>
            </w: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Wykonawca gwarantuje, że Zamawiający po zakupie będzie właścicielem licencji na dostarczone oprogramowanie (zapis nie dotyczy praw autorskich).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Zamawiający wymaga, aby Wykonawca udzielił Zamawiającemu licencji na korzystanie z zainstalowanego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br/>
              <w:t>w urządzeniu oprogramowania serwisowego koniecznego do diagnozowania, regulowania, kalibracji, serwisowania i napraw urządzenia, przy czym: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1)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 xml:space="preserve">licencja jest udzielana na czas nieokreślony, nieodwołalna, bez możliwości jej wypowiedzenia przez Wykonawcę w okresie eksploatacji urządzenia, 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2)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udzielana bez konieczności ponoszenia dodatkowych opłat, w ramach wynagrodzenia za dostawę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3)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licencja jest przenoszona na osobę trzecią wraz z przeniesieniem prawa własności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4)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>prawo do korzystania z oprogramowania serwisowego przysługuje Zamawiającemu oraz osobom trzecim wykonującym zlecone przez Zamawiającego czynności związane z diagnozowaniem, regulowaniem, kalibracją, serwisowaniem lub naprawą urządzenia,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5)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ab/>
              <w:t xml:space="preserve">jeżeli do korzystania z oprogramowania serwisowego konieczne jest wprowadzenie kodów 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lub kluczy serwisowych lub hasła dostępu lub usunięcie blokady dostępu do oprogramowania w inny sposób, takie kody lub klucze serwisowe lub hasła dostępu lub inny sposób usunięcia blokady dostępu do oprogramowania będą przekazane Zamawiającemu przez Wykonawcę jednocześnie z przekazaniem Zamawiającemu urządzenia.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color w:val="000000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pStyle w:val="Akapitzlist"/>
              <w:spacing w:before="20" w:after="20"/>
              <w:ind w:left="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Przyłącza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Interfejs Gigabit Ethernet. Integracja oraz konfiguracja wszystkich opisywanych urządzeń z systemem RIS/PACS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Serwer z konfiguracją ze wskazanym systemem teleradiologicznym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2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tabs>
                <w:tab w:val="left" w:pos="0"/>
              </w:tabs>
              <w:suppressAutoHyphens/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20"/>
                <w:szCs w:val="20"/>
              </w:rPr>
              <w:t>Integracja , konfiguracja oraz uruchomienie dostępu do stacji lekarskiej oraz do systemu RIS/PACS z 2 wskazanych lokalizacji.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hAnsi="Century Gothic" w:cs="Courier New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b/>
                <w:sz w:val="20"/>
                <w:szCs w:val="20"/>
              </w:rPr>
              <w:t>PRACE ADAPTACYJNE / INSTALACYJNE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Moc podłączeniowa [kVA]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 cenie oferty – wszystkie prace adaptacyjne, instalacyjne, itp. niezbędne do odbioru pracowni i aparatu przez uprawnione instytucje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Wszystkie prace – zgodnie z zapisami SIWZ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Wykonawca gwarantuje, że jego urządzenie już po oddaniu do eksploatacji nie będzie wymagało prowadzenia przez Zamawiającego dodatkowych instalacji i innych prac związanych z zasilaniem energetycznym urządzenia.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Ciężar całego systemu [kg] z rozbiciem na najbardziej istotne elementy składowe, tj.: 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gantry,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lastRenderedPageBreak/>
              <w:t>- stół,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konsola,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- jednostka dystrybucji.</w:t>
            </w:r>
          </w:p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  <w:t xml:space="preserve">UWAGA – Wykonawca gwarantuje jednocześnie, </w:t>
            </w:r>
            <w:r w:rsidRPr="007314E4">
              <w:rPr>
                <w:rFonts w:ascii="Century Gothic" w:hAnsi="Century Gothic" w:cs="Arial"/>
                <w:i/>
                <w:color w:val="000000" w:themeColor="text1"/>
                <w:sz w:val="20"/>
                <w:szCs w:val="20"/>
              </w:rPr>
              <w:t>że masa systemu nie wpłynie na dopuszczalne obciążenie stropu pracowni oraz dróg transportowych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Warunki klimatyczne wymagane podczas pracy urządzenia: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temperatur [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C]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wilgotności [%]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Dopuszczalne zmiany warunków klimatycznych podczas pracy: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temperatura [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C/godz]</w:t>
            </w:r>
          </w:p>
          <w:p w:rsidR="00353E10" w:rsidRPr="007314E4" w:rsidRDefault="00353E10" w:rsidP="00753652">
            <w:pPr>
              <w:numPr>
                <w:ilvl w:val="0"/>
                <w:numId w:val="3"/>
              </w:numPr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zakres wilgotności [% / godz]]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Ilość ciepła emitowana do pomieszczenia badań w trakcie skanowania [kW]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 przypadku potrzeby dodatkowego odprowadzenia ciepła z oferowanego systemu, urządzeń zasilających, peryferyjnych i komputerów zostanie dostarczony i zainstalowany odpowiedni system zapewniający pracę systemu w warunkach zgodnych z wytycznymi producenta (po stronie wykonawcy wszystkie ewentualne prace i czynności projektowe i wykonawcze)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Wykonawca uzyska i przygotuje we własnym zakresie i na własny koszt niezbędne uzgodnienia, opinie, decyzje, mapy i inne dokumenty niezbędne do celów projektowych.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uppressAutoHyphens/>
              <w:spacing w:before="20" w:after="2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 xml:space="preserve">Przed rozpoczęciem jakichkolwiek prac adaptacyjnych Wykonawca musi posiadać </w:t>
            </w:r>
            <w:r w:rsidRPr="007314E4">
              <w:rPr>
                <w:rFonts w:ascii="Century Gothic" w:hAnsi="Century Gothic" w:cs="Arial"/>
                <w:sz w:val="20"/>
                <w:szCs w:val="20"/>
              </w:rPr>
              <w:lastRenderedPageBreak/>
              <w:t>wymagane pozwolenia (w tym pozwolenie na budowę) lub złożyć Zamawiającemu oświadczenie, że określone pozwolenie nie jest wymagane.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lastRenderedPageBreak/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Dla zapewnienia realizacji wszystkich niezbędnych prac o charakterze remontowo-budowlanym Wykonawca zapewni kierowników robót w odpowiednich branżach. Kierownicy robot muszą posiadać stosowne i aktualne przez cały okres inwestycji uprawnienia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sz w:val="20"/>
                <w:szCs w:val="20"/>
              </w:rPr>
              <w:t>Zrealizowane przez Wykonawcę prace o charakterze remontowo-budowlanym mają gwarantować uzyskanie pozytywnych decyzji o dopuszczeniu do użytkowania pracowni przez uprawnione instytucje (w tym: Wojewódzką Stację Sanitarno - Epidemiologiczną, Państwową Straż Pożarną i Państwową Inspekcję Pracy oraz inne – o ile są wymagane)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 w:cs="Arial"/>
                <w:bCs/>
                <w:color w:val="000000" w:themeColor="text1"/>
                <w:sz w:val="20"/>
                <w:szCs w:val="20"/>
              </w:rPr>
              <w:t xml:space="preserve">Wykonawca dostosuje istniejącą i wykona nową niezbędną instalację elektryczną, teletechniczną oraz inne niezbędne instalacje do prawidłowego zamontowania, uruchomienia i użytkowania urządzenia, jak również wykona wszystkie wynikające z tego dostosowania roboty ogólnobudowlane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Lista-kontynuacja2"/>
              <w:spacing w:before="20" w:after="20" w:line="276" w:lineRule="auto"/>
              <w:ind w:left="0" w:firstLine="0"/>
              <w:jc w:val="both"/>
              <w:rPr>
                <w:rFonts w:ascii="Century Gothic" w:hAnsi="Century Gothic"/>
                <w:color w:val="000000" w:themeColor="text1"/>
                <w:lang w:eastAsia="en-US"/>
              </w:rPr>
            </w:pPr>
            <w:r w:rsidRPr="007314E4">
              <w:rPr>
                <w:rFonts w:ascii="Century Gothic" w:hAnsi="Century Gothic"/>
                <w:color w:val="000000" w:themeColor="text1"/>
                <w:lang w:eastAsia="en-US"/>
              </w:rPr>
              <w:t>Pełna dokumentacja powykonawcza zawierająca dokumentację architektoniczną, budowlaną, instalacyjną w tym informacje elektryczne (m. in. przebiegi obciążeń aparatu w funkcji czasu 1 cyklu badań)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Wykonawca jest odpowiedzialny za realizację całokształtu prac adaptacyjnych i instalacyjnych przy współpracy z inspektorami nadzoru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314E4">
              <w:rPr>
                <w:rFonts w:ascii="Century Gothic" w:hAnsi="Century Gothic"/>
                <w:sz w:val="20"/>
                <w:szCs w:val="20"/>
              </w:rPr>
              <w:t>Adaptacja istniejącej pracowni CT w zakresie niezbędnym do spełnienia wszystkich wytycznych instalacyjnych producenta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353E10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kapitzlist"/>
              <w:numPr>
                <w:ilvl w:val="0"/>
                <w:numId w:val="33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spacing w:before="20" w:after="20" w:line="276" w:lineRule="auto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314E4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W cenie oferty – prace porządkowe, odbiór zbędnych opakowań, substancji szkodliwych (o ile występują), naprawa szkód (o ile wystąpią podczas dostawy i montażu)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E10" w:rsidRPr="007314E4" w:rsidRDefault="00353E10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6F2A0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0"/>
                <w:numId w:val="15"/>
              </w:numPr>
              <w:spacing w:before="20" w:after="20"/>
              <w:ind w:left="530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/>
                <w:bCs/>
                <w:sz w:val="20"/>
                <w:szCs w:val="20"/>
              </w:rPr>
              <w:t>POZOSTAŁE WYMAGANIA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Standard"/>
              <w:snapToGrid w:val="0"/>
              <w:spacing w:before="20" w:after="20" w:line="276" w:lineRule="auto"/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0"/>
                <w:numId w:val="35"/>
              </w:numPr>
              <w:spacing w:before="20" w:after="20"/>
              <w:ind w:left="0" w:firstLine="0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>Testy akceptacyjne, specjalistyczne i projekt ochrony radiologicznej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eastAsia="Century Gothic" w:hAnsi="Century Gothic" w:cs="Century Gothic"/>
                <w:sz w:val="16"/>
                <w:szCs w:val="20"/>
              </w:rPr>
              <w:t>TAK, podać i opisać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61A9" w:rsidRPr="007314E4" w:rsidTr="0075365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kapitzlist"/>
              <w:numPr>
                <w:ilvl w:val="1"/>
                <w:numId w:val="35"/>
              </w:numPr>
              <w:spacing w:before="20" w:after="20"/>
              <w:ind w:left="473"/>
              <w:jc w:val="center"/>
              <w:rPr>
                <w:rFonts w:ascii="Century Gothic" w:hAnsi="Century Gothic"/>
                <w:color w:val="000000" w:themeColor="text1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9B7699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Projekt osłon radiologicznych,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załączyć przy dostawie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1A9" w:rsidRPr="007314E4" w:rsidRDefault="006261A9" w:rsidP="00753652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7314E4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bookmarkEnd w:id="0"/>
    </w:tbl>
    <w:p w:rsidR="00761FC5" w:rsidRPr="007314E4" w:rsidRDefault="00761FC5" w:rsidP="000C52D0">
      <w:pPr>
        <w:spacing w:line="276" w:lineRule="auto"/>
        <w:rPr>
          <w:rFonts w:ascii="Century Gothic" w:hAnsi="Century Gothic"/>
          <w:b/>
        </w:rPr>
      </w:pPr>
    </w:p>
    <w:p w:rsidR="00DB683C" w:rsidRPr="007314E4" w:rsidRDefault="00B77597" w:rsidP="00867694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Pr="007314E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DB683C" w:rsidRPr="007314E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EF3364" w:rsidRPr="007314E4" w:rsidRDefault="00EF3364" w:rsidP="00867694">
      <w:pPr>
        <w:spacing w:line="276" w:lineRule="auto"/>
        <w:rPr>
          <w:rFonts w:ascii="Century Gothic" w:hAnsi="Century Gothic"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394"/>
        <w:gridCol w:w="1133"/>
        <w:gridCol w:w="4112"/>
        <w:gridCol w:w="2835"/>
        <w:gridCol w:w="1984"/>
      </w:tblGrid>
      <w:tr w:rsidR="00DB683C" w:rsidRPr="007314E4" w:rsidTr="005F62A2">
        <w:trPr>
          <w:trHeight w:val="1008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="006261A9"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min. 24 miesięcy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nia urządzenia</w:t>
            </w:r>
          </w:p>
          <w:p w:rsidR="00DB683C" w:rsidRPr="007314E4" w:rsidRDefault="003E4A3D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UWAGA1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gwarancja na cał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wity przedmiot zamówienia w tym</w:t>
            </w:r>
            <w:r w:rsidR="00EB0BCD"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lampę RTG i detektor, wstrzykiwacz kontrastu,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na system, oprogramowanie, licencje oraz inne elementy składowe, bez żadnych wyłączeń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 2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należy podać pełną liczbę mie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sięcy. Wartości ułamkowe będą przy ocenie za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okrąglane w dół – do pełnych miesięcy,</w:t>
            </w:r>
          </w:p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/>
                <w:b/>
                <w:color w:val="000000"/>
                <w:sz w:val="20"/>
                <w:szCs w:val="20"/>
                <w:lang w:eastAsia="en-US"/>
              </w:rPr>
              <w:t>UWAGA 3</w:t>
            </w:r>
            <w:r w:rsidRPr="007314E4">
              <w:rPr>
                <w:rFonts w:ascii="Century Gothic" w:eastAsia="Calibri" w:hAnsi="Century Gothic"/>
                <w:color w:val="000000"/>
                <w:sz w:val="20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24 miesięcy</w:t>
            </w:r>
            <w:r w:rsidR="00EB0BCD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gwarancji - 0 pkt.,</w:t>
            </w:r>
          </w:p>
          <w:p w:rsidR="00EB0BCD" w:rsidRPr="007314E4" w:rsidRDefault="006261A9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36 miesięcy gwarancji –</w:t>
            </w:r>
            <w:r w:rsidR="00E43A34"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3</w:t>
            </w: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 xml:space="preserve"> pkt.,</w:t>
            </w:r>
          </w:p>
          <w:p w:rsidR="00EB0BCD" w:rsidRPr="007314E4" w:rsidRDefault="006261A9" w:rsidP="006261A9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48 i więcej miesięcy gwarancji – 5 pkt.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DB683C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DB683C" w:rsidRPr="007314E4" w:rsidRDefault="00DB683C" w:rsidP="000C52D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okresie gwarancji wykonawcę obowiązuje wykonywanie testów specjalistycznych (realizowanych przez jednostki posiadających wymaganą w momencie wykonywania tych czynności akredytację)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oferenta przez okres gwarancji. 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TAK, podać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Zapewnienie dostępności części zamiennych i serwisu przez okres 10 lat od daty zainstalowania aparatu. Powyższe nie dotyczy oprogramowania i sprzętu komputerowego, dla którego Wykonawca zapewnia 5 letnią dostępność części zamiennych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EB0BCD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EB0BCD" w:rsidRPr="007314E4" w:rsidRDefault="008D257D" w:rsidP="008D257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EB0BCD" w:rsidRPr="007314E4" w:rsidRDefault="00EB0BCD" w:rsidP="00EB0BC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867694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867694" w:rsidRPr="007314E4" w:rsidRDefault="00867694" w:rsidP="0086769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Aktualizacja oprogramowania do najnowszych wersji zainstalowanego w dostarczonych urządzeniach w okresie trwania gwarancji.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  <w:tr w:rsidR="006472AF" w:rsidRPr="007314E4" w:rsidTr="0034438D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numPr>
                <w:ilvl w:val="0"/>
                <w:numId w:val="19"/>
              </w:numPr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Aparat oraz wszystkie oferowane urządzenia pozbawione haseł, kodów, blokad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 lub naprawę aparatu i urządzeń przez inny niż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 przypadku nie ko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konawcy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lub udostępnienie haseł, kodów serwiso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TAK</w:t>
            </w:r>
          </w:p>
        </w:tc>
        <w:tc>
          <w:tcPr>
            <w:tcW w:w="4112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472AF" w:rsidRPr="007314E4" w:rsidRDefault="006472AF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4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  <w:sz w:val="10"/>
        </w:rPr>
      </w:pPr>
    </w:p>
    <w:p w:rsidR="00B02E58" w:rsidRPr="007314E4" w:rsidRDefault="00EF3364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  <w:bCs/>
          <w:sz w:val="22"/>
          <w:szCs w:val="22"/>
        </w:rPr>
        <w:br w:type="column"/>
      </w:r>
      <w:r w:rsidR="00B02E58" w:rsidRPr="007314E4">
        <w:rPr>
          <w:rFonts w:ascii="Century Gothic" w:hAnsi="Century Gothic"/>
          <w:b/>
          <w:bCs/>
          <w:sz w:val="22"/>
          <w:szCs w:val="22"/>
        </w:rPr>
        <w:lastRenderedPageBreak/>
        <w:t xml:space="preserve">Pogwarancyjna obsługa serwisowa – </w:t>
      </w:r>
      <w:r w:rsidR="00B02E58" w:rsidRPr="007314E4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B02E58" w:rsidRPr="007314E4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3893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709"/>
        <w:gridCol w:w="4395"/>
        <w:gridCol w:w="1418"/>
        <w:gridCol w:w="4819"/>
        <w:gridCol w:w="2552"/>
      </w:tblGrid>
      <w:tr w:rsidR="006472AF" w:rsidRPr="007314E4" w:rsidTr="006472AF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pogwarancyjny koszt rocznych przeglądów technicznych „GKPT” (wartość brutto, waluta PLN) wykonany przez autoryzowany serwis zgodnie z zaleceniami producenta wraz z zestawami do przeglądu, wiążący przez 5 lat po okresie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*GKPT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• n</w:t>
            </w:r>
            <w:r w:rsidRPr="007314E4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</w:p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  <w:tr w:rsidR="006472AF" w:rsidRPr="007314E4" w:rsidTr="006472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B02E58">
            <w:pPr>
              <w:numPr>
                <w:ilvl w:val="0"/>
                <w:numId w:val="21"/>
              </w:numPr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>Gwarantowany koszt rocznego, pełnego kontraktu serwisowego „GKRS” (wartość brutto, waluta PLN) zawierającego wszystkie koszty w tym robociznę oraz wszystkie części zamienne w tym lampę RTG i detektor, możliwego do zawarcia po upływie okresu gwarancyjnego, wiążący przez okres 5 lat  po upływie gwarancji</w:t>
            </w:r>
          </w:p>
          <w:p w:rsidR="006472AF" w:rsidRPr="007314E4" w:rsidRDefault="006472AF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7314E4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7314E4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6472AF" w:rsidRPr="007314E4" w:rsidRDefault="006472AF" w:rsidP="00477C1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„MAX” pkt. </w:t>
            </w:r>
          </w:p>
          <w:p w:rsidR="006472AF" w:rsidRPr="007314E4" w:rsidRDefault="006472AF" w:rsidP="00477C1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22"/>
              </w:rPr>
              <w:t>Pozostałe proporcjonalnie*</w:t>
            </w:r>
          </w:p>
        </w:tc>
      </w:tr>
    </w:tbl>
    <w:p w:rsidR="008B45E3" w:rsidRPr="007314E4" w:rsidRDefault="00B02E58" w:rsidP="00B02E58">
      <w:pPr>
        <w:rPr>
          <w:rFonts w:ascii="Century Gothic" w:hAnsi="Century Gothic"/>
          <w:b/>
        </w:rPr>
      </w:pPr>
      <w:r w:rsidRPr="007314E4">
        <w:rPr>
          <w:rFonts w:ascii="Century Gothic" w:hAnsi="Century Gothic"/>
          <w:b/>
        </w:rPr>
        <w:t xml:space="preserve"> </w:t>
      </w:r>
    </w:p>
    <w:p w:rsidR="00DB683C" w:rsidRPr="007314E4" w:rsidRDefault="008B45E3" w:rsidP="000C52D0">
      <w:pPr>
        <w:spacing w:line="276" w:lineRule="auto"/>
        <w:rPr>
          <w:rFonts w:ascii="Century Gothic" w:hAnsi="Century Gothic"/>
          <w:i/>
        </w:rPr>
      </w:pPr>
      <w:r w:rsidRPr="007314E4">
        <w:rPr>
          <w:rFonts w:ascii="Century Gothic" w:hAnsi="Century Gothic"/>
          <w:b/>
        </w:rPr>
        <w:br w:type="column"/>
      </w:r>
      <w:r w:rsidR="00DB683C" w:rsidRPr="007314E4">
        <w:rPr>
          <w:rFonts w:ascii="Century Gothic" w:hAnsi="Century Gothic"/>
          <w:b/>
        </w:rPr>
        <w:lastRenderedPageBreak/>
        <w:t xml:space="preserve">Rozdział nr III – </w:t>
      </w:r>
      <w:r w:rsidR="00DB683C" w:rsidRPr="007314E4">
        <w:rPr>
          <w:rFonts w:ascii="Century Gothic" w:hAnsi="Century Gothic"/>
          <w:i/>
        </w:rPr>
        <w:t>dodatkowe informacje</w:t>
      </w:r>
    </w:p>
    <w:p w:rsidR="00DB683C" w:rsidRPr="007314E4" w:rsidRDefault="00DB683C" w:rsidP="000C52D0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6F2A00" w:rsidRPr="007314E4" w:rsidTr="006F2A00">
        <w:tc>
          <w:tcPr>
            <w:tcW w:w="568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vAlign w:val="center"/>
            <w:hideMark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vAlign w:val="center"/>
            <w:hideMark/>
          </w:tcPr>
          <w:p w:rsidR="006F2A00" w:rsidRPr="007314E4" w:rsidRDefault="006F2A00" w:rsidP="009D72F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9D72F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0C52D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 xml:space="preserve">–  certyfikat CE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(Dz.U.2020.0.186)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314E4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(Dz.U.2020.0.186)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7314E4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7314E4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przedmiot zamówienia, nie na części składowe, zgodna z aktualnie obowiązującym prawem (w tym dyrektywy UE)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pStyle w:val="Akapitzlist"/>
              <w:ind w:left="0"/>
              <w:rPr>
                <w:rFonts w:ascii="Century Gothic" w:hAnsi="Century Gothic"/>
                <w:color w:val="000000" w:themeColor="text1"/>
                <w:szCs w:val="16"/>
                <w:lang w:val="pl-PL"/>
              </w:rPr>
            </w:pPr>
            <w:r w:rsidRPr="007314E4">
              <w:rPr>
                <w:rFonts w:ascii="Century Gothic" w:hAnsi="Century Gothic"/>
                <w:color w:val="000000" w:themeColor="text1"/>
                <w:szCs w:val="16"/>
                <w:lang w:val="pl-PL"/>
              </w:rPr>
              <w:t>Dane techniczne urządzenia (parametry promieniowania, filtracji, itp.)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Struktura serwisowa gwarantująca realizację wymogów stawianych w niniejszej specyfikacji – należy podać wykaz serwisów i/lub serwisantów posiadających uprawnienia do obsługi serwisowej oferowanych urządzeń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uppressAutoHyphens/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po ocenie ofert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powiednimi skanami instrukcji obsługi, instrukcji serwisowej, kart katalogowych lub ska</w:t>
            </w:r>
            <w:r w:rsidRPr="007314E4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Wykonawcę, którego oferta została oceniona najwyżej. 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1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– w przypadku braku możliwości potwierdzenia któregokolwiek z parametrów z rozdz. I skanami instrukcji obsługi, instrukcji serwisowej, kart katalogowych lub skanami broszur Zamawiający dopuszcza aby te parametry zostały potwierdzone oświadczeniem producenta lub autoryzowanego na terenie Rzeczypospolitej Polskiej przedstawiciela producenta</w:t>
            </w: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</w:rPr>
              <w:t xml:space="preserve">UWAGA 3 – 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7314E4">
              <w:rPr>
                <w:rFonts w:ascii="Century Gothic" w:hAnsi="Century Gothic"/>
                <w:color w:val="000000"/>
                <w:sz w:val="16"/>
              </w:rPr>
              <w:softHyphen/>
              <w:t xml:space="preserve">twierdzeniach parametrów technicznych znajdowały się odnośniki do konkretnego parametru z załącznika nr 2 w następującej postaci: </w:t>
            </w:r>
            <w:r w:rsidRPr="007314E4"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>rowej i elektronicznej na płycie CD/DVD lub innym nośniku (format PDF)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dotyczy także urządzeń peryferyjnych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urządzeniem wykonawca dostarczy paszporty techniczne zawierający co najmniej takie dane jak: nazwa, typ (model), producent, rok produkcji, numer seryjny (fabryczny), inne istotne informacje (np. części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składowe, istotne wyposażenie, oprogramowanie), kody z aktualnie obowiązującego słownika NFZ (o ile występują) osobno dla każdego wyrobu medycznego, w tym: tomografu komputerowego z wyposażeniem (w skład wyposażenia min. konsola operatorska i serwer aplikacyjny – 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u w:val="single"/>
                <w:lang w:eastAsia="en-US"/>
              </w:rPr>
              <w:t>w przypadku dostawy nowego serwera aplikacyjnego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), wstrzykiwacz kontrastu, monitor EKG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pStyle w:val="Nagwek1"/>
              <w:tabs>
                <w:tab w:val="num" w:pos="0"/>
              </w:tabs>
              <w:suppressAutoHyphens w:val="0"/>
              <w:spacing w:line="276" w:lineRule="auto"/>
              <w:jc w:val="both"/>
              <w:rPr>
                <w:rFonts w:ascii="Century Gothic" w:hAnsi="Century Gothic" w:cs="Arial"/>
                <w:b w:val="0"/>
                <w:bCs w:val="0"/>
                <w:iCs/>
                <w:sz w:val="20"/>
                <w:szCs w:val="18"/>
              </w:rPr>
            </w:pP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7314E4">
              <w:rPr>
                <w:rFonts w:ascii="Century Gothic" w:hAnsi="Century Gothic" w:cs="Arial"/>
                <w:b w:val="0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przeglądów technicznych w języku polskim</w:t>
            </w: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</w:p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UWAGA</w:t>
            </w:r>
            <w:r w:rsidRPr="007314E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- dokumentacja musi zapewnić co najmniej pełną diagnostykę urządzenia, wykonywanie drobnych napraw, regulacji, kalibracji, oraz przeglądów okresowych w standardzie wymaganym przez producenta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Harmonogram lub częstotliwość wymaganych przez producenta przeglądów lub innej obsługi serwisowej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Stanowiskową instrukcję BHP (§41. Rozporządzenia Ministra Pracy i Polityki Socjalnej z dnia 26 września 1997 r. w sprawie ogólnych przepisów bezpieczeństwa i higieny pracy Dz.U. 1997 nr 129 poz. 844) z późniejszymi zmianami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Instrukcja konserwacji, mycia, dezynfekcji i sterylizacji dla poszczególnych elementów aparatów.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472AF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Możliwość mycia i dezynfekcji poszczególnych elementów aparatów w oparciu o przedsta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6F2A00" w:rsidRPr="007314E4" w:rsidRDefault="006F2A00" w:rsidP="006472AF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7314E4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7314E4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472AF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472AF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 xml:space="preserve">Projekt osłon radiologicznych, 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załączyć przy dostawie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b/>
                <w:sz w:val="20"/>
                <w:szCs w:val="20"/>
                <w:lang w:eastAsia="zh-CN"/>
              </w:rPr>
              <w:t>Inne dokumenty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Przedstawienie min. 5 różnych wizualizacji (dla każdego pomieszczenia)  nowotworzonej pracowni Rezonansu magnetycznego  przed rozpoczęciem prac budowlanych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załączyć przed przystąpieniem do realizacji zamówienia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rPr>
                <w:rFonts w:ascii="Century Gothic" w:hAnsi="Century Gothic" w:cs="Arial Narrow"/>
                <w:sz w:val="20"/>
                <w:szCs w:val="20"/>
              </w:rPr>
            </w:pPr>
            <w:r w:rsidRPr="007314E4">
              <w:rPr>
                <w:rFonts w:ascii="Century Gothic" w:hAnsi="Century Gothic" w:cs="Arial Narrow"/>
                <w:sz w:val="20"/>
                <w:szCs w:val="20"/>
              </w:rPr>
              <w:t xml:space="preserve">Wykonanie testów akceptacyjnych po zainstalowaniu urządzenia– </w:t>
            </w:r>
            <w:r w:rsidRPr="007314E4">
              <w:rPr>
                <w:rFonts w:ascii="Century Gothic" w:hAnsi="Century Gothic" w:cs="Arial Narrow"/>
                <w:bCs/>
                <w:sz w:val="20"/>
                <w:szCs w:val="20"/>
              </w:rPr>
              <w:t>zawarte w cenie oferty, ponadto: testy specjalistyczne, pomiary mocy dawki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napToGrid w:val="0"/>
              <w:spacing w:line="276" w:lineRule="auto"/>
              <w:jc w:val="center"/>
              <w:rPr>
                <w:rFonts w:ascii="Century Gothic" w:hAnsi="Century Gothic" w:cs="Arial Narrow"/>
                <w:sz w:val="16"/>
                <w:szCs w:val="20"/>
              </w:rPr>
            </w:pPr>
            <w:r w:rsidRPr="007314E4">
              <w:rPr>
                <w:rFonts w:ascii="Century Gothic" w:hAnsi="Century Gothic" w:cs="Arial Narrow"/>
                <w:sz w:val="16"/>
                <w:szCs w:val="20"/>
              </w:rPr>
              <w:t>Tak, dostarczenie wyników najpóźniej 7 dni od dostawy urządzenia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uppressAutoHyphens/>
              <w:spacing w:before="40" w:after="40" w:line="276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Szkolenia dla personelu  medycznego z zakresu obsługi podstawowej urządzenia (min. 2 osoby dla szkolenia podstawowego oraz min. 10 osób w trakcie uruchamiania pracowni)</w:t>
            </w:r>
          </w:p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sz w:val="20"/>
                <w:szCs w:val="18"/>
              </w:rPr>
              <w:t>Szkolenie aplikacyjne potwierdzone wydaniem imiennego certyfikatu dla każdej osoby uczestniczącej w szkoleniu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Wyjazdowe szkolenie w ośrodku referencyjnym po podpisaniu umowy a przed dostawą aparatu  dla min 4 techników oraz 4 lekarzy min. 5 dni dla każdego w 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lastRenderedPageBreak/>
              <w:t>ustalonym przez zamawiającego terminie lub inna adekwatna ilość osobodni.</w:t>
            </w:r>
          </w:p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Po uruchomieniu wyjazdowe szkolenie w ośrodku referencyjnym lub podczas szkolenia/konferencji    dla techników i lekarzy po 5 dni dla 5 lekarzy i pięciu techników lub adekwatna ilość osobodni.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Szkolenia dla personelu technicznego (do 5 osób) z zakresu podstawowej diagnostyki stanu technicznego i wykonywania podstawowych czynności konserwacyjnych, naprawczych i przeglądowych; w razie potrzeby możliwość stałego wsparcia aplikacyjnego w okresie gwarancji urządzeń (dodatkowe szkolenie, dodatkowa grupa osób, konsultacje, itp.)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Liczba i okres szkoleń na miejscu u Zamawiającego w terminie z nim ustalonym 20 dni po 8 godzin dla techników i lekarzy :</w:t>
            </w:r>
          </w:p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- pierwsze szkolenie - tuż po instalacji systemu, w wymiarze do 5 dni roboczych </w:t>
            </w:r>
          </w:p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- dodatkowe, w razie potrzeby, w innym terminie ustalonym  z kierownikiem pracowni,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7314E4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Możliwość uzyskania (potwierdzonych certyfikatem) częściowych uprawnień serwisowych przez personel techniczny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podać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W cenie urządzenia znajduje się komplet ak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zbędnego do uruchomienia i funkcjonowania aparatu jako całości w wymaganej specyfi</w:t>
            </w: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lastRenderedPageBreak/>
              <w:t>czeniem, wszelkie opłaty celne, skar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autoSpaceDE w:val="0"/>
              <w:autoSpaceDN w:val="0"/>
              <w:adjustRightInd w:val="0"/>
              <w:spacing w:before="60" w:after="60" w:line="276" w:lineRule="auto"/>
              <w:ind w:left="57" w:right="113"/>
              <w:jc w:val="both"/>
              <w:rPr>
                <w:rFonts w:ascii="Century Gothic" w:hAnsi="Century Gothic"/>
                <w:color w:val="000000"/>
                <w:sz w:val="20"/>
              </w:rPr>
            </w:pP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Wykonawca sam przygotuje odpowiednie po</w:t>
            </w:r>
            <w:r w:rsidRPr="007314E4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mieszczenie dla serwerów obsługujących aparaty i stacje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F2A00" w:rsidRPr="007314E4" w:rsidTr="006F2A00">
        <w:tc>
          <w:tcPr>
            <w:tcW w:w="568" w:type="dxa"/>
            <w:vAlign w:val="center"/>
          </w:tcPr>
          <w:p w:rsidR="006F2A00" w:rsidRPr="007314E4" w:rsidRDefault="006F2A00" w:rsidP="006F2A00">
            <w:pPr>
              <w:numPr>
                <w:ilvl w:val="0"/>
                <w:numId w:val="22"/>
              </w:numPr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7314E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6F2A00" w:rsidRPr="007314E4" w:rsidRDefault="006F2A00" w:rsidP="006F2A00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314E4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DB683C" w:rsidRPr="007314E4" w:rsidRDefault="00DB683C" w:rsidP="000C52D0">
      <w:pPr>
        <w:spacing w:line="276" w:lineRule="auto"/>
        <w:rPr>
          <w:rFonts w:ascii="Century Gothic" w:hAnsi="Century Gothic"/>
          <w:b/>
        </w:rPr>
      </w:pPr>
    </w:p>
    <w:p w:rsidR="00DE08B5" w:rsidRPr="007314E4" w:rsidRDefault="00DE08B5" w:rsidP="00DE08B5">
      <w:pPr>
        <w:spacing w:line="259" w:lineRule="auto"/>
        <w:contextualSpacing/>
        <w:rPr>
          <w:rFonts w:ascii="Century Gothic" w:hAnsi="Century Gothic"/>
          <w:b/>
          <w:color w:val="0000FF"/>
          <w:sz w:val="16"/>
        </w:rPr>
      </w:pPr>
      <w:r w:rsidRPr="007314E4">
        <w:rPr>
          <w:rFonts w:ascii="Century Gothic" w:hAnsi="Century Gothic"/>
          <w:b/>
          <w:color w:val="0000FF"/>
          <w:sz w:val="16"/>
        </w:rPr>
        <w:t>*w przypadku gdy, w którymkolwiek punkcie parametru punktowanego Zamawiający używa słowa „proporcjonalność” na myśli:</w:t>
      </w: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maksymalnej:</w:t>
      </w: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7"/>
        </w:numPr>
        <w:spacing w:after="0"/>
        <w:jc w:val="both"/>
        <w:rPr>
          <w:rFonts w:ascii="Century Gothic" w:hAnsi="Century Gothic" w:cs="Calibri"/>
          <w:color w:val="0000FF"/>
          <w:sz w:val="16"/>
          <w:szCs w:val="22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szCs w:val="22"/>
          <w:lang w:val="pl-PL"/>
        </w:rPr>
        <w:t xml:space="preserve">Wartość wymagana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color w:val="0000FF"/>
          <w:sz w:val="16"/>
          <w:lang w:val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największej:</w:t>
      </w:r>
    </w:p>
    <w:p w:rsidR="00DE08B5" w:rsidRPr="007314E4" w:rsidRDefault="00DE08B5" w:rsidP="00DE08B5">
      <w:pPr>
        <w:pStyle w:val="Akapitzlist"/>
        <w:ind w:left="1080"/>
        <w:rPr>
          <w:rFonts w:ascii="Century Gothic" w:hAnsi="Century Gothic"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DE08B5" w:rsidRPr="007314E4" w:rsidRDefault="00DE08B5" w:rsidP="00DE08B5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7314E4">
        <w:rPr>
          <w:rFonts w:ascii="Century Gothic" w:hAnsi="Century Gothic" w:cs="Calibri"/>
          <w:color w:val="0000FF"/>
          <w:sz w:val="16"/>
        </w:rPr>
        <w:lastRenderedPageBreak/>
        <w:t>n – liczba pkt. przyznanych za parametr.</w:t>
      </w:r>
    </w:p>
    <w:p w:rsidR="00DE08B5" w:rsidRPr="007314E4" w:rsidRDefault="00DE08B5" w:rsidP="00DE08B5">
      <w:pPr>
        <w:pStyle w:val="Akapitzlist"/>
        <w:ind w:left="284"/>
        <w:rPr>
          <w:rFonts w:ascii="Century Gothic" w:hAnsi="Century Gothic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Akapitzlist"/>
        <w:numPr>
          <w:ilvl w:val="0"/>
          <w:numId w:val="36"/>
        </w:numPr>
        <w:spacing w:after="0" w:line="259" w:lineRule="auto"/>
        <w:ind w:left="284" w:hanging="284"/>
        <w:rPr>
          <w:rFonts w:ascii="Century Gothic" w:hAnsi="Century Gothic"/>
          <w:b/>
          <w:color w:val="0000FF"/>
          <w:sz w:val="16"/>
          <w:lang w:val="pl-PL" w:eastAsia="pl-PL"/>
        </w:rPr>
      </w:pPr>
      <w:r w:rsidRPr="007314E4">
        <w:rPr>
          <w:rFonts w:ascii="Century Gothic" w:hAnsi="Century Gothic"/>
          <w:b/>
          <w:color w:val="0000FF"/>
          <w:sz w:val="16"/>
          <w:lang w:val="pl-PL" w:eastAsia="pl-PL"/>
        </w:rPr>
        <w:t>Proporcjonalność liczona od wartości najmniejszej:</w:t>
      </w:r>
    </w:p>
    <w:p w:rsidR="00DE08B5" w:rsidRPr="007314E4" w:rsidRDefault="00DE08B5" w:rsidP="00DE08B5">
      <w:pPr>
        <w:pStyle w:val="Akapitzlist"/>
        <w:rPr>
          <w:rFonts w:ascii="Century Gothic" w:hAnsi="Century Gothic" w:cs="Calibri"/>
          <w:b/>
          <w:color w:val="0000FF"/>
          <w:sz w:val="16"/>
          <w:lang w:val="pl-PL" w:eastAsia="pl-PL"/>
        </w:rPr>
      </w:pP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najmniejsza (z) – 0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DE08B5" w:rsidRPr="007314E4" w:rsidRDefault="00DE08B5" w:rsidP="00DE08B5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7314E4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DE08B5" w:rsidRPr="007314E4" w:rsidRDefault="00DE08B5" w:rsidP="00DE08B5">
      <w:pPr>
        <w:pStyle w:val="Akapitzlist"/>
        <w:spacing w:before="40" w:after="40"/>
        <w:ind w:right="57"/>
        <w:jc w:val="both"/>
        <w:rPr>
          <w:rFonts w:ascii="Century Gothic" w:eastAsiaTheme="minorEastAsia" w:hAnsi="Century Gothic" w:cs="Calibri"/>
          <w:color w:val="0000FF"/>
          <w:sz w:val="16"/>
          <w:lang w:val="pl-PL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  <w:lang w:val="pl-PL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  <w:lang w:val="pl-PL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  <w:lang w:val="pl-PL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  <w:lang w:val="pl-PL"/>
            </w:rPr>
            <m:t>∙MAX</m:t>
          </m:r>
        </m:oMath>
      </m:oMathPara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gdzie:</w:t>
      </w:r>
    </w:p>
    <w:p w:rsidR="00DE08B5" w:rsidRPr="007314E4" w:rsidRDefault="00DE08B5" w:rsidP="00DE08B5">
      <w:pPr>
        <w:pStyle w:val="Akapitzlist"/>
        <w:autoSpaceDE w:val="0"/>
        <w:spacing w:before="40" w:after="40"/>
        <w:ind w:right="57"/>
        <w:jc w:val="both"/>
        <w:rPr>
          <w:rFonts w:ascii="Century Gothic" w:hAnsi="Century Gothic" w:cs="Calibri"/>
          <w:color w:val="0000FF"/>
          <w:sz w:val="16"/>
          <w:lang w:val="pl-PL" w:eastAsia="zh-CN"/>
        </w:rPr>
      </w:pPr>
      <w:r w:rsidRPr="007314E4">
        <w:rPr>
          <w:rFonts w:ascii="Century Gothic" w:hAnsi="Century Gothic" w:cs="Calibri"/>
          <w:color w:val="0000FF"/>
          <w:sz w:val="16"/>
          <w:lang w:val="pl-PL" w:eastAsia="zh-CN"/>
        </w:rPr>
        <w:t>x – wartość parametru oferty badanej,</w:t>
      </w:r>
    </w:p>
    <w:p w:rsidR="00DE08B5" w:rsidRPr="007314E4" w:rsidRDefault="00DE08B5" w:rsidP="00DE08B5">
      <w:pPr>
        <w:pStyle w:val="Akapitzlist"/>
        <w:rPr>
          <w:rFonts w:ascii="Calibri" w:hAnsi="Calibri" w:cs="Calibri"/>
          <w:color w:val="0000FF"/>
          <w:lang w:val="pl-PL"/>
        </w:rPr>
      </w:pPr>
      <w:r w:rsidRPr="007314E4">
        <w:rPr>
          <w:rFonts w:ascii="Century Gothic" w:hAnsi="Century Gothic" w:cs="Calibri"/>
          <w:color w:val="0000FF"/>
          <w:sz w:val="16"/>
          <w:lang w:val="pl-PL"/>
        </w:rPr>
        <w:t>n – liczba pkt. przyznanych za parametr.</w:t>
      </w:r>
    </w:p>
    <w:p w:rsidR="009A6891" w:rsidRPr="007314E4" w:rsidRDefault="009A6891" w:rsidP="009A6891">
      <w:pPr>
        <w:spacing w:before="40" w:after="40" w:line="276" w:lineRule="auto"/>
        <w:rPr>
          <w:rFonts w:ascii="Century Gothic" w:hAnsi="Century Gothic"/>
          <w:b/>
          <w:sz w:val="18"/>
          <w:szCs w:val="20"/>
          <w:lang w:eastAsia="zh-CN"/>
        </w:rPr>
      </w:pPr>
      <w:r w:rsidRPr="007314E4">
        <w:rPr>
          <w:rFonts w:ascii="Century Gothic" w:hAnsi="Century Gothic"/>
          <w:b/>
          <w:sz w:val="18"/>
          <w:szCs w:val="20"/>
          <w:lang w:eastAsia="zh-CN"/>
        </w:rPr>
        <w:t>Oświadczenie Wykonawcy: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9A6891" w:rsidRPr="007314E4" w:rsidRDefault="009A6891" w:rsidP="009A6891">
      <w:pPr>
        <w:numPr>
          <w:ilvl w:val="0"/>
          <w:numId w:val="23"/>
        </w:numPr>
        <w:spacing w:before="40" w:after="40" w:line="276" w:lineRule="auto"/>
        <w:ind w:left="284" w:hanging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  <w:r w:rsidRPr="007314E4">
        <w:rPr>
          <w:rFonts w:ascii="Century Gothic" w:hAnsi="Century Gothic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p w:rsidR="009A6891" w:rsidRPr="007314E4" w:rsidRDefault="009A6891" w:rsidP="009A6891">
      <w:pPr>
        <w:spacing w:before="40" w:after="40" w:line="276" w:lineRule="auto"/>
        <w:ind w:left="284"/>
        <w:contextualSpacing/>
        <w:jc w:val="both"/>
        <w:rPr>
          <w:rFonts w:ascii="Century Gothic" w:hAnsi="Century Gothic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9A6891" w:rsidRPr="007314E4" w:rsidTr="00C85FE4">
        <w:trPr>
          <w:trHeight w:val="1005"/>
        </w:trPr>
        <w:tc>
          <w:tcPr>
            <w:tcW w:w="694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9A6891" w:rsidRPr="007314E4" w:rsidRDefault="009A6891" w:rsidP="00C85FE4">
            <w:pPr>
              <w:spacing w:before="40" w:after="40" w:line="276" w:lineRule="auto"/>
              <w:ind w:left="567"/>
              <w:contextualSpacing/>
              <w:jc w:val="both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b/>
                <w:sz w:val="16"/>
                <w:szCs w:val="20"/>
                <w:lang w:eastAsia="zh-CN"/>
              </w:rPr>
              <w:t>Potwierdzam oferowane jw. parametry</w:t>
            </w: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: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rPr>
                <w:rFonts w:ascii="Century Gothic" w:hAnsi="Century Gothic"/>
                <w:sz w:val="16"/>
                <w:szCs w:val="20"/>
                <w:lang w:eastAsia="zh-CN"/>
              </w:rPr>
            </w:pP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9A6891" w:rsidRPr="007314E4" w:rsidRDefault="009A6891" w:rsidP="00C85FE4">
            <w:pPr>
              <w:spacing w:before="40" w:after="40" w:line="276" w:lineRule="auto"/>
              <w:ind w:left="720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Uprawniony przedstawiciel wykonawcy–</w:t>
            </w:r>
          </w:p>
          <w:p w:rsidR="009A6891" w:rsidRPr="007314E4" w:rsidRDefault="009A6891" w:rsidP="00C85FE4">
            <w:pPr>
              <w:spacing w:before="40" w:after="40" w:line="276" w:lineRule="auto"/>
              <w:contextualSpacing/>
              <w:jc w:val="center"/>
              <w:rPr>
                <w:rFonts w:ascii="Century Gothic" w:hAnsi="Century Gothic"/>
                <w:sz w:val="16"/>
                <w:szCs w:val="20"/>
                <w:lang w:eastAsia="zh-CN"/>
              </w:rPr>
            </w:pPr>
            <w:r w:rsidRPr="007314E4">
              <w:rPr>
                <w:rFonts w:ascii="Century Gothic" w:hAnsi="Century Gothic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9A6891" w:rsidRPr="007314E4" w:rsidRDefault="009A6891" w:rsidP="000C52D0">
      <w:pPr>
        <w:spacing w:line="276" w:lineRule="auto"/>
        <w:rPr>
          <w:rFonts w:ascii="Century Gothic" w:hAnsi="Century Gothic"/>
          <w:b/>
        </w:rPr>
      </w:pPr>
    </w:p>
    <w:sectPr w:rsidR="009A6891" w:rsidRPr="007314E4" w:rsidSect="00B97E25">
      <w:headerReference w:type="default" r:id="rId8"/>
      <w:footerReference w:type="default" r:id="rId9"/>
      <w:pgSz w:w="16838" w:h="11906" w:orient="landscape" w:code="9"/>
      <w:pgMar w:top="851" w:right="1417" w:bottom="709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FF8" w:rsidRDefault="00A71FF8" w:rsidP="008403F8">
      <w:r>
        <w:separator/>
      </w:r>
    </w:p>
  </w:endnote>
  <w:endnote w:type="continuationSeparator" w:id="0">
    <w:p w:rsidR="00A71FF8" w:rsidRDefault="00A71FF8" w:rsidP="0084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293900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  <w:szCs w:val="18"/>
      </w:rPr>
    </w:sdtEndPr>
    <w:sdtContent>
      <w:sdt>
        <w:sdtPr>
          <w:rPr>
            <w:rFonts w:ascii="Century Gothic" w:hAnsi="Century Gothic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36D44" w:rsidRDefault="00736D44">
            <w:pPr>
              <w:pStyle w:val="Stopka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B97E25" w:rsidRDefault="00B97E25" w:rsidP="00B97E25">
            <w:pPr>
              <w:pStyle w:val="Stopka"/>
              <w:framePr w:wrap="around" w:vAnchor="text" w:hAnchor="page" w:x="1222" w:y="-487"/>
              <w:jc w:val="center"/>
              <w:rPr>
                <w:rStyle w:val="Numerstrony"/>
              </w:rPr>
            </w:pPr>
          </w:p>
          <w:p w:rsidR="00736D44" w:rsidRPr="00F836D9" w:rsidRDefault="00736D44">
            <w:pPr>
              <w:pStyle w:val="Stopka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36D9">
              <w:rPr>
                <w:rFonts w:ascii="Century Gothic" w:hAnsi="Century Gothic"/>
                <w:sz w:val="18"/>
                <w:szCs w:val="18"/>
              </w:rPr>
              <w:t xml:space="preserve">Strona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C94CC9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36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F836D9">
              <w:rPr>
                <w:rFonts w:ascii="Century Gothic" w:hAnsi="Century Gothic"/>
                <w:sz w:val="18"/>
                <w:szCs w:val="18"/>
              </w:rPr>
              <w:t xml:space="preserve"> z 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C94CC9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37</w:t>
            </w:r>
            <w:r w:rsidRPr="00F836D9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736D44" w:rsidRDefault="00736D44" w:rsidP="0030642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FF8" w:rsidRDefault="00A71FF8" w:rsidP="008403F8">
      <w:r>
        <w:separator/>
      </w:r>
    </w:p>
  </w:footnote>
  <w:footnote w:type="continuationSeparator" w:id="0">
    <w:p w:rsidR="00A71FF8" w:rsidRDefault="00A71FF8" w:rsidP="00840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44" w:rsidRDefault="00736D44" w:rsidP="008403F8">
    <w:pPr>
      <w:pStyle w:val="Nagwek"/>
      <w:jc w:val="right"/>
      <w:rPr>
        <w:rFonts w:ascii="Century Gothic" w:hAnsi="Century Gothic"/>
        <w:sz w:val="20"/>
        <w:szCs w:val="20"/>
      </w:rPr>
    </w:pPr>
    <w:r w:rsidRPr="008403F8">
      <w:rPr>
        <w:rFonts w:ascii="Century Gothic" w:hAnsi="Century Gothic"/>
        <w:sz w:val="20"/>
        <w:szCs w:val="20"/>
      </w:rPr>
      <w:t>Załącznik nr 2</w:t>
    </w:r>
    <w:r>
      <w:rPr>
        <w:rFonts w:ascii="Century Gothic" w:hAnsi="Century Gothic"/>
        <w:sz w:val="20"/>
        <w:szCs w:val="20"/>
      </w:rPr>
      <w:t>a</w:t>
    </w:r>
  </w:p>
  <w:p w:rsidR="00B97E25" w:rsidRPr="008403F8" w:rsidRDefault="00B97E25" w:rsidP="00B97E25">
    <w:pPr>
      <w:pStyle w:val="Nagwek"/>
      <w:jc w:val="center"/>
      <w:rPr>
        <w:rFonts w:ascii="Century Gothic" w:hAnsi="Century Gothic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</w:abstractNum>
  <w:abstractNum w:abstractNumId="2" w15:restartNumberingAfterBreak="0">
    <w:nsid w:val="01821287"/>
    <w:multiLevelType w:val="multilevel"/>
    <w:tmpl w:val="0DF85E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8F6EC7"/>
    <w:multiLevelType w:val="hybridMultilevel"/>
    <w:tmpl w:val="9B0CB9CE"/>
    <w:lvl w:ilvl="0" w:tplc="04B8698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F0759"/>
    <w:multiLevelType w:val="hybridMultilevel"/>
    <w:tmpl w:val="3C0E30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A645D"/>
    <w:multiLevelType w:val="multilevel"/>
    <w:tmpl w:val="0F7C8D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A904DA"/>
    <w:multiLevelType w:val="multilevel"/>
    <w:tmpl w:val="80440F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5E23CF6"/>
    <w:multiLevelType w:val="hybridMultilevel"/>
    <w:tmpl w:val="E084E7D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86224C"/>
    <w:multiLevelType w:val="multilevel"/>
    <w:tmpl w:val="EE18BC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9F205E3"/>
    <w:multiLevelType w:val="hybridMultilevel"/>
    <w:tmpl w:val="838403E0"/>
    <w:lvl w:ilvl="0" w:tplc="09D2F91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22ED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164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DFF5B28"/>
    <w:multiLevelType w:val="multilevel"/>
    <w:tmpl w:val="C30C31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2E6B7FBA"/>
    <w:multiLevelType w:val="multilevel"/>
    <w:tmpl w:val="CAE0A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28D0CDC"/>
    <w:multiLevelType w:val="singleLevel"/>
    <w:tmpl w:val="D25CCE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D8960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BFA7DBE"/>
    <w:multiLevelType w:val="multilevel"/>
    <w:tmpl w:val="5896D704"/>
    <w:lvl w:ilvl="0">
      <w:start w:val="1"/>
      <w:numFmt w:val="bullet"/>
      <w:lvlText w:val=""/>
      <w:lvlJc w:val="left"/>
      <w:pPr>
        <w:tabs>
          <w:tab w:val="num" w:pos="683"/>
        </w:tabs>
        <w:ind w:left="683" w:hanging="683"/>
      </w:pPr>
      <w:rPr>
        <w:rFonts w:ascii="Wingdings" w:hAnsi="Wingdings" w:cs="Wingdings" w:hint="default"/>
        <w:b w:val="0"/>
        <w:i w:val="0"/>
        <w:color w:val="auto"/>
        <w:sz w:val="18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5EB54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4D08CE"/>
    <w:multiLevelType w:val="multilevel"/>
    <w:tmpl w:val="D1EE33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A0661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D7564"/>
    <w:multiLevelType w:val="multilevel"/>
    <w:tmpl w:val="B0E25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8464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E1913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62F2A46"/>
    <w:multiLevelType w:val="hybridMultilevel"/>
    <w:tmpl w:val="EFA05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617495"/>
    <w:multiLevelType w:val="hybridMultilevel"/>
    <w:tmpl w:val="755A9D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9"/>
  </w:num>
  <w:num w:numId="4">
    <w:abstractNumId w:val="1"/>
    <w:lvlOverride w:ilvl="0">
      <w:startOverride w:val="1"/>
    </w:lvlOverride>
  </w:num>
  <w:num w:numId="5">
    <w:abstractNumId w:val="11"/>
  </w:num>
  <w:num w:numId="6">
    <w:abstractNumId w:val="18"/>
  </w:num>
  <w:num w:numId="7">
    <w:abstractNumId w:val="25"/>
  </w:num>
  <w:num w:numId="8">
    <w:abstractNumId w:val="8"/>
  </w:num>
  <w:num w:numId="9">
    <w:abstractNumId w:val="6"/>
  </w:num>
  <w:num w:numId="10">
    <w:abstractNumId w:val="2"/>
  </w:num>
  <w:num w:numId="11">
    <w:abstractNumId w:val="29"/>
  </w:num>
  <w:num w:numId="12">
    <w:abstractNumId w:val="16"/>
  </w:num>
  <w:num w:numId="13">
    <w:abstractNumId w:val="7"/>
  </w:num>
  <w:num w:numId="14">
    <w:abstractNumId w:val="32"/>
  </w:num>
  <w:num w:numId="15">
    <w:abstractNumId w:val="10"/>
  </w:num>
  <w:num w:numId="16">
    <w:abstractNumId w:val="12"/>
  </w:num>
  <w:num w:numId="17">
    <w:abstractNumId w:val="3"/>
  </w:num>
  <w:num w:numId="18">
    <w:abstractNumId w:val="4"/>
  </w:num>
  <w:num w:numId="19">
    <w:abstractNumId w:val="33"/>
  </w:num>
  <w:num w:numId="20">
    <w:abstractNumId w:val="9"/>
  </w:num>
  <w:num w:numId="21">
    <w:abstractNumId w:val="24"/>
  </w:num>
  <w:num w:numId="22">
    <w:abstractNumId w:val="5"/>
  </w:num>
  <w:num w:numId="23">
    <w:abstractNumId w:val="28"/>
  </w:num>
  <w:num w:numId="24">
    <w:abstractNumId w:val="27"/>
  </w:num>
  <w:num w:numId="25">
    <w:abstractNumId w:val="20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21"/>
  </w:num>
  <w:num w:numId="29">
    <w:abstractNumId w:val="23"/>
  </w:num>
  <w:num w:numId="30">
    <w:abstractNumId w:val="22"/>
  </w:num>
  <w:num w:numId="31">
    <w:abstractNumId w:val="14"/>
  </w:num>
  <w:num w:numId="32">
    <w:abstractNumId w:val="15"/>
  </w:num>
  <w:num w:numId="33">
    <w:abstractNumId w:val="30"/>
  </w:num>
  <w:num w:numId="34">
    <w:abstractNumId w:val="31"/>
  </w:num>
  <w:num w:numId="35">
    <w:abstractNumId w:val="34"/>
  </w:num>
  <w:num w:numId="36">
    <w:abstractNumId w:val="13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07D"/>
    <w:rsid w:val="00003A45"/>
    <w:rsid w:val="00006615"/>
    <w:rsid w:val="0001468E"/>
    <w:rsid w:val="0002626D"/>
    <w:rsid w:val="00045044"/>
    <w:rsid w:val="00087273"/>
    <w:rsid w:val="00096B7F"/>
    <w:rsid w:val="000A5480"/>
    <w:rsid w:val="000A7954"/>
    <w:rsid w:val="000B134C"/>
    <w:rsid w:val="000C52D0"/>
    <w:rsid w:val="000C7188"/>
    <w:rsid w:val="000D307D"/>
    <w:rsid w:val="000E0227"/>
    <w:rsid w:val="000F414F"/>
    <w:rsid w:val="000F5BD4"/>
    <w:rsid w:val="00120DF8"/>
    <w:rsid w:val="001432E0"/>
    <w:rsid w:val="00143EEF"/>
    <w:rsid w:val="00144B28"/>
    <w:rsid w:val="00173761"/>
    <w:rsid w:val="0018205D"/>
    <w:rsid w:val="001B19A4"/>
    <w:rsid w:val="001C60B0"/>
    <w:rsid w:val="001D2B44"/>
    <w:rsid w:val="002001B1"/>
    <w:rsid w:val="00211244"/>
    <w:rsid w:val="00211359"/>
    <w:rsid w:val="00220915"/>
    <w:rsid w:val="0023482C"/>
    <w:rsid w:val="0023621F"/>
    <w:rsid w:val="00252A34"/>
    <w:rsid w:val="00275979"/>
    <w:rsid w:val="002816EA"/>
    <w:rsid w:val="002D4942"/>
    <w:rsid w:val="002E1044"/>
    <w:rsid w:val="002E3B14"/>
    <w:rsid w:val="002E7F36"/>
    <w:rsid w:val="002F5083"/>
    <w:rsid w:val="0030642C"/>
    <w:rsid w:val="0032717F"/>
    <w:rsid w:val="00331596"/>
    <w:rsid w:val="0034438D"/>
    <w:rsid w:val="00353E10"/>
    <w:rsid w:val="00361F76"/>
    <w:rsid w:val="0036270A"/>
    <w:rsid w:val="003659FB"/>
    <w:rsid w:val="00365D2E"/>
    <w:rsid w:val="00370FAA"/>
    <w:rsid w:val="00371EE2"/>
    <w:rsid w:val="00382839"/>
    <w:rsid w:val="003937A9"/>
    <w:rsid w:val="00396BBC"/>
    <w:rsid w:val="003A2031"/>
    <w:rsid w:val="003B0378"/>
    <w:rsid w:val="003B6D5B"/>
    <w:rsid w:val="003B7EA2"/>
    <w:rsid w:val="003D0469"/>
    <w:rsid w:val="003E4393"/>
    <w:rsid w:val="003E4A3D"/>
    <w:rsid w:val="003E600D"/>
    <w:rsid w:val="00413554"/>
    <w:rsid w:val="004141D1"/>
    <w:rsid w:val="004426B9"/>
    <w:rsid w:val="00460792"/>
    <w:rsid w:val="0046539C"/>
    <w:rsid w:val="00476D12"/>
    <w:rsid w:val="00483F3F"/>
    <w:rsid w:val="004A4521"/>
    <w:rsid w:val="004A4E56"/>
    <w:rsid w:val="004E0C1B"/>
    <w:rsid w:val="004E1991"/>
    <w:rsid w:val="00501DA0"/>
    <w:rsid w:val="00521388"/>
    <w:rsid w:val="00521765"/>
    <w:rsid w:val="00532084"/>
    <w:rsid w:val="0053221E"/>
    <w:rsid w:val="00535E58"/>
    <w:rsid w:val="005419E5"/>
    <w:rsid w:val="00542F8E"/>
    <w:rsid w:val="005568DB"/>
    <w:rsid w:val="0057515C"/>
    <w:rsid w:val="00576817"/>
    <w:rsid w:val="005948D3"/>
    <w:rsid w:val="005966E3"/>
    <w:rsid w:val="005A7CD8"/>
    <w:rsid w:val="005B20FA"/>
    <w:rsid w:val="005B4021"/>
    <w:rsid w:val="005B7CA6"/>
    <w:rsid w:val="005F62A2"/>
    <w:rsid w:val="006261A9"/>
    <w:rsid w:val="006472AF"/>
    <w:rsid w:val="0065269D"/>
    <w:rsid w:val="00655D63"/>
    <w:rsid w:val="006600D3"/>
    <w:rsid w:val="00665143"/>
    <w:rsid w:val="00670CC8"/>
    <w:rsid w:val="00673D6D"/>
    <w:rsid w:val="006854A2"/>
    <w:rsid w:val="006C27DF"/>
    <w:rsid w:val="006C3E8D"/>
    <w:rsid w:val="006E10CD"/>
    <w:rsid w:val="006F022C"/>
    <w:rsid w:val="006F13AE"/>
    <w:rsid w:val="006F2A00"/>
    <w:rsid w:val="00724AF0"/>
    <w:rsid w:val="007314E4"/>
    <w:rsid w:val="00736D44"/>
    <w:rsid w:val="0074035A"/>
    <w:rsid w:val="00752B5F"/>
    <w:rsid w:val="00753652"/>
    <w:rsid w:val="007561E0"/>
    <w:rsid w:val="00761DE1"/>
    <w:rsid w:val="00761FC5"/>
    <w:rsid w:val="00765576"/>
    <w:rsid w:val="007658C9"/>
    <w:rsid w:val="00766DB4"/>
    <w:rsid w:val="00776304"/>
    <w:rsid w:val="00785D97"/>
    <w:rsid w:val="00795421"/>
    <w:rsid w:val="00797F77"/>
    <w:rsid w:val="007B58DB"/>
    <w:rsid w:val="007C080E"/>
    <w:rsid w:val="007D0ADF"/>
    <w:rsid w:val="007E17D9"/>
    <w:rsid w:val="0080041C"/>
    <w:rsid w:val="00802463"/>
    <w:rsid w:val="00803A14"/>
    <w:rsid w:val="008403F8"/>
    <w:rsid w:val="00846861"/>
    <w:rsid w:val="00853BC9"/>
    <w:rsid w:val="008575B3"/>
    <w:rsid w:val="00864339"/>
    <w:rsid w:val="00867694"/>
    <w:rsid w:val="008741A6"/>
    <w:rsid w:val="008846A8"/>
    <w:rsid w:val="008A320E"/>
    <w:rsid w:val="008A39BA"/>
    <w:rsid w:val="008A424A"/>
    <w:rsid w:val="008B45E3"/>
    <w:rsid w:val="008B5CF3"/>
    <w:rsid w:val="008C448C"/>
    <w:rsid w:val="008D257D"/>
    <w:rsid w:val="008F032D"/>
    <w:rsid w:val="008F1589"/>
    <w:rsid w:val="008F647E"/>
    <w:rsid w:val="00905D9E"/>
    <w:rsid w:val="00922422"/>
    <w:rsid w:val="0092688D"/>
    <w:rsid w:val="00936E85"/>
    <w:rsid w:val="00937B1A"/>
    <w:rsid w:val="00945384"/>
    <w:rsid w:val="0094691D"/>
    <w:rsid w:val="009637CC"/>
    <w:rsid w:val="00973DAC"/>
    <w:rsid w:val="00987587"/>
    <w:rsid w:val="009A42C0"/>
    <w:rsid w:val="009A45A1"/>
    <w:rsid w:val="009A6891"/>
    <w:rsid w:val="009A6EC1"/>
    <w:rsid w:val="009B52A2"/>
    <w:rsid w:val="009B7699"/>
    <w:rsid w:val="009D2C10"/>
    <w:rsid w:val="009D72F0"/>
    <w:rsid w:val="009F02B4"/>
    <w:rsid w:val="00A00727"/>
    <w:rsid w:val="00A0389D"/>
    <w:rsid w:val="00A0426A"/>
    <w:rsid w:val="00A23EF1"/>
    <w:rsid w:val="00A3025C"/>
    <w:rsid w:val="00A317F0"/>
    <w:rsid w:val="00A41CD9"/>
    <w:rsid w:val="00A46751"/>
    <w:rsid w:val="00A54379"/>
    <w:rsid w:val="00A64BE3"/>
    <w:rsid w:val="00A65C6E"/>
    <w:rsid w:val="00A71FF8"/>
    <w:rsid w:val="00A74849"/>
    <w:rsid w:val="00A91058"/>
    <w:rsid w:val="00A93B2F"/>
    <w:rsid w:val="00AA1B19"/>
    <w:rsid w:val="00AB384B"/>
    <w:rsid w:val="00AC4685"/>
    <w:rsid w:val="00AD436C"/>
    <w:rsid w:val="00AE5B39"/>
    <w:rsid w:val="00B02008"/>
    <w:rsid w:val="00B02E58"/>
    <w:rsid w:val="00B03554"/>
    <w:rsid w:val="00B15299"/>
    <w:rsid w:val="00B21E97"/>
    <w:rsid w:val="00B26F9C"/>
    <w:rsid w:val="00B6701E"/>
    <w:rsid w:val="00B734F2"/>
    <w:rsid w:val="00B73C0E"/>
    <w:rsid w:val="00B77597"/>
    <w:rsid w:val="00B8407C"/>
    <w:rsid w:val="00B97E25"/>
    <w:rsid w:val="00BA6311"/>
    <w:rsid w:val="00BA6D49"/>
    <w:rsid w:val="00BB02E9"/>
    <w:rsid w:val="00BD1E93"/>
    <w:rsid w:val="00BD238E"/>
    <w:rsid w:val="00BD6260"/>
    <w:rsid w:val="00BF3E92"/>
    <w:rsid w:val="00C24143"/>
    <w:rsid w:val="00C3704D"/>
    <w:rsid w:val="00C4497F"/>
    <w:rsid w:val="00C50832"/>
    <w:rsid w:val="00C5324D"/>
    <w:rsid w:val="00C55D06"/>
    <w:rsid w:val="00C85FE4"/>
    <w:rsid w:val="00C94CC9"/>
    <w:rsid w:val="00CA38F4"/>
    <w:rsid w:val="00CB00ED"/>
    <w:rsid w:val="00CB379E"/>
    <w:rsid w:val="00CC47B4"/>
    <w:rsid w:val="00CE0D07"/>
    <w:rsid w:val="00CE3219"/>
    <w:rsid w:val="00CF5B32"/>
    <w:rsid w:val="00CF74E8"/>
    <w:rsid w:val="00D105CD"/>
    <w:rsid w:val="00D142A4"/>
    <w:rsid w:val="00D153C5"/>
    <w:rsid w:val="00D170BA"/>
    <w:rsid w:val="00D222CF"/>
    <w:rsid w:val="00D22389"/>
    <w:rsid w:val="00D338F3"/>
    <w:rsid w:val="00D40C68"/>
    <w:rsid w:val="00D5399F"/>
    <w:rsid w:val="00D63AD2"/>
    <w:rsid w:val="00D71F60"/>
    <w:rsid w:val="00D80593"/>
    <w:rsid w:val="00D92F5E"/>
    <w:rsid w:val="00DA16D3"/>
    <w:rsid w:val="00DA3644"/>
    <w:rsid w:val="00DA5923"/>
    <w:rsid w:val="00DA7591"/>
    <w:rsid w:val="00DB6786"/>
    <w:rsid w:val="00DB683C"/>
    <w:rsid w:val="00DC0285"/>
    <w:rsid w:val="00DC1F31"/>
    <w:rsid w:val="00DC3C3B"/>
    <w:rsid w:val="00DC535C"/>
    <w:rsid w:val="00DE08B5"/>
    <w:rsid w:val="00DF4F92"/>
    <w:rsid w:val="00E27CA7"/>
    <w:rsid w:val="00E27F96"/>
    <w:rsid w:val="00E353E6"/>
    <w:rsid w:val="00E427BA"/>
    <w:rsid w:val="00E43A34"/>
    <w:rsid w:val="00E60E7A"/>
    <w:rsid w:val="00E622F6"/>
    <w:rsid w:val="00E7395D"/>
    <w:rsid w:val="00E86C51"/>
    <w:rsid w:val="00E91E40"/>
    <w:rsid w:val="00E95F41"/>
    <w:rsid w:val="00EA31AD"/>
    <w:rsid w:val="00EB0BCD"/>
    <w:rsid w:val="00EB7413"/>
    <w:rsid w:val="00ED0636"/>
    <w:rsid w:val="00EE0DDC"/>
    <w:rsid w:val="00EF1CC3"/>
    <w:rsid w:val="00EF3364"/>
    <w:rsid w:val="00EF6665"/>
    <w:rsid w:val="00F05EF3"/>
    <w:rsid w:val="00F27516"/>
    <w:rsid w:val="00F51781"/>
    <w:rsid w:val="00F53EA4"/>
    <w:rsid w:val="00F54642"/>
    <w:rsid w:val="00F5537F"/>
    <w:rsid w:val="00F56C82"/>
    <w:rsid w:val="00F64252"/>
    <w:rsid w:val="00F65E5D"/>
    <w:rsid w:val="00F822F3"/>
    <w:rsid w:val="00F836D9"/>
    <w:rsid w:val="00F83B06"/>
    <w:rsid w:val="00F8440C"/>
    <w:rsid w:val="00FA0CC9"/>
    <w:rsid w:val="00FA4D9D"/>
    <w:rsid w:val="00FB7748"/>
    <w:rsid w:val="00FC15D2"/>
    <w:rsid w:val="00FC298C"/>
    <w:rsid w:val="00FD0DF0"/>
    <w:rsid w:val="00FD1715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8BD23C5-88A6-4B80-B0B9-D4500DA4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D4942"/>
    <w:pPr>
      <w:keepNext/>
      <w:suppressAutoHyphens/>
      <w:snapToGrid w:val="0"/>
      <w:jc w:val="center"/>
      <w:outlineLvl w:val="0"/>
    </w:pPr>
    <w:rPr>
      <w:rFonts w:ascii="Arial Narrow" w:hAnsi="Arial Narrow"/>
      <w:b/>
      <w:bCs/>
      <w:sz w:val="1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9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4942"/>
    <w:rPr>
      <w:rFonts w:ascii="Arial Narrow" w:eastAsia="Times New Roman" w:hAnsi="Arial Narrow" w:cs="Times New Roman"/>
      <w:b/>
      <w:bCs/>
      <w:sz w:val="18"/>
      <w:szCs w:val="20"/>
      <w:lang w:eastAsia="ar-SA"/>
    </w:rPr>
  </w:style>
  <w:style w:type="paragraph" w:customStyle="1" w:styleId="Normal9pt">
    <w:name w:val="Normal 9 pt"/>
    <w:basedOn w:val="Normalny"/>
    <w:rsid w:val="002D4942"/>
    <w:pPr>
      <w:suppressAutoHyphens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2D4942"/>
    <w:pPr>
      <w:widowControl w:val="0"/>
      <w:suppressLineNumbers/>
      <w:suppressAutoHyphens/>
    </w:pPr>
    <w:rPr>
      <w:lang w:eastAsia="ar-SA"/>
    </w:rPr>
  </w:style>
  <w:style w:type="paragraph" w:customStyle="1" w:styleId="a">
    <w:name w:val="正文"/>
    <w:rsid w:val="00853BC9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97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Lista-kontynuacja2">
    <w:name w:val="List Continue 2"/>
    <w:basedOn w:val="Lista-kontynuacja"/>
    <w:unhideWhenUsed/>
    <w:rsid w:val="00C4497F"/>
    <w:pPr>
      <w:spacing w:after="160"/>
      <w:ind w:left="1080" w:hanging="360"/>
      <w:contextualSpacing w:val="0"/>
    </w:pPr>
    <w:rPr>
      <w:sz w:val="20"/>
      <w:szCs w:val="20"/>
    </w:rPr>
  </w:style>
  <w:style w:type="paragraph" w:styleId="Akapitzlist">
    <w:name w:val="List Paragraph"/>
    <w:aliases w:val="sw tekst,L1,Numerowanie,Akapit z listą BS,ISCG Numerowanie,lp1"/>
    <w:basedOn w:val="Normalny"/>
    <w:link w:val="AkapitzlistZnak"/>
    <w:uiPriority w:val="34"/>
    <w:qFormat/>
    <w:rsid w:val="00C4497F"/>
    <w:pPr>
      <w:spacing w:after="200" w:line="276" w:lineRule="auto"/>
      <w:ind w:left="720"/>
      <w:contextualSpacing/>
    </w:pPr>
    <w:rPr>
      <w:rFonts w:ascii="Arial" w:eastAsia="Calibri" w:hAnsi="Arial"/>
      <w:sz w:val="20"/>
      <w:szCs w:val="20"/>
      <w:lang w:val="en-US" w:eastAsia="en-US"/>
    </w:rPr>
  </w:style>
  <w:style w:type="paragraph" w:customStyle="1" w:styleId="AbsatzTableFormat">
    <w:name w:val="AbsatzTableFormat"/>
    <w:basedOn w:val="Normalny"/>
    <w:autoRedefine/>
    <w:rsid w:val="00C4497F"/>
    <w:rPr>
      <w:rFonts w:ascii="Arial" w:hAnsi="Arial" w:cs="Arial"/>
      <w:sz w:val="20"/>
      <w:szCs w:val="20"/>
    </w:rPr>
  </w:style>
  <w:style w:type="paragraph" w:customStyle="1" w:styleId="Standard">
    <w:name w:val="Standard"/>
    <w:rsid w:val="00C4497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Lista-kontynuacja22">
    <w:name w:val="Lista - kontynuacja 22"/>
    <w:basedOn w:val="Normalny"/>
    <w:rsid w:val="00C4497F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customStyle="1" w:styleId="Lista-kontynuacja24">
    <w:name w:val="Lista - kontynuacja 24"/>
    <w:basedOn w:val="Normalny"/>
    <w:rsid w:val="00C4497F"/>
    <w:pPr>
      <w:widowControl w:val="0"/>
      <w:suppressAutoHyphens/>
      <w:spacing w:after="120"/>
      <w:ind w:left="566"/>
    </w:pPr>
    <w:rPr>
      <w:rFonts w:eastAsia="Andale Sans UI"/>
      <w:kern w:val="2"/>
      <w:lang w:eastAsia="ar-SA"/>
    </w:rPr>
  </w:style>
  <w:style w:type="paragraph" w:styleId="Lista-kontynuacja">
    <w:name w:val="List Continue"/>
    <w:basedOn w:val="Normalny"/>
    <w:uiPriority w:val="99"/>
    <w:semiHidden/>
    <w:unhideWhenUsed/>
    <w:rsid w:val="00C4497F"/>
    <w:pPr>
      <w:spacing w:after="120"/>
      <w:ind w:left="283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42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25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B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44B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4B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4B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44B2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4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44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44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63AD2"/>
    <w:rPr>
      <w:color w:val="0000FF" w:themeColor="hyperlink"/>
      <w:u w:val="single"/>
    </w:rPr>
  </w:style>
  <w:style w:type="character" w:customStyle="1" w:styleId="AkapitzlistZnak">
    <w:name w:val="Akapit z listą Znak"/>
    <w:aliases w:val="sw tekst Znak,L1 Znak,Numerowanie Znak,Akapit z listą BS Znak,ISCG Numerowanie Znak,lp1 Znak"/>
    <w:basedOn w:val="Domylnaczcionkaakapitu"/>
    <w:link w:val="Akapitzlist"/>
    <w:uiPriority w:val="34"/>
    <w:qFormat/>
    <w:locked/>
    <w:rsid w:val="00AE5B39"/>
    <w:rPr>
      <w:rFonts w:ascii="Arial" w:eastAsia="Calibri" w:hAnsi="Arial" w:cs="Times New Roman"/>
      <w:sz w:val="20"/>
      <w:szCs w:val="20"/>
      <w:lang w:val="en-US"/>
    </w:rPr>
  </w:style>
  <w:style w:type="paragraph" w:styleId="NormalnyWeb">
    <w:name w:val="Normal (Web)"/>
    <w:basedOn w:val="Normalny"/>
    <w:uiPriority w:val="99"/>
    <w:unhideWhenUsed/>
    <w:qFormat/>
    <w:rsid w:val="00FA4D9D"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rsid w:val="00B97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0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6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B2010-9253-415F-8ED5-CAAA17AF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37</Pages>
  <Words>7187</Words>
  <Characters>43128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</dc:creator>
  <cp:lastModifiedBy>Michał Smelik</cp:lastModifiedBy>
  <cp:revision>36</cp:revision>
  <cp:lastPrinted>2020-06-28T12:07:00Z</cp:lastPrinted>
  <dcterms:created xsi:type="dcterms:W3CDTF">2019-01-23T06:14:00Z</dcterms:created>
  <dcterms:modified xsi:type="dcterms:W3CDTF">2020-07-09T12:29:00Z</dcterms:modified>
</cp:coreProperties>
</file>