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E93" w:rsidRPr="007314E4" w:rsidRDefault="00413554" w:rsidP="000C52D0">
      <w:pPr>
        <w:shd w:val="clear" w:color="auto" w:fill="EEECE1" w:themeFill="background2"/>
        <w:spacing w:line="276" w:lineRule="auto"/>
        <w:jc w:val="center"/>
        <w:rPr>
          <w:rFonts w:ascii="Century Gothic" w:hAnsi="Century Gothic"/>
          <w:b/>
        </w:rPr>
      </w:pPr>
      <w:r w:rsidRPr="007314E4">
        <w:rPr>
          <w:rFonts w:ascii="Century Gothic" w:hAnsi="Century Gothic"/>
          <w:b/>
        </w:rPr>
        <w:t>Opis przedmiotu zamówienia</w:t>
      </w:r>
      <w:r w:rsidR="00532084" w:rsidRPr="007314E4">
        <w:rPr>
          <w:rFonts w:ascii="Century Gothic" w:hAnsi="Century Gothic"/>
          <w:b/>
        </w:rPr>
        <w:t xml:space="preserve"> </w:t>
      </w:r>
    </w:p>
    <w:p w:rsidR="0030642C" w:rsidRPr="007314E4" w:rsidRDefault="0030642C" w:rsidP="000C52D0">
      <w:pPr>
        <w:spacing w:line="276" w:lineRule="auto"/>
        <w:rPr>
          <w:rFonts w:ascii="Century Gothic" w:hAnsi="Century Gothic"/>
          <w:b/>
        </w:rPr>
      </w:pPr>
    </w:p>
    <w:p w:rsidR="0030642C" w:rsidRPr="0023621F" w:rsidRDefault="0030642C" w:rsidP="0023621F">
      <w:pPr>
        <w:spacing w:line="276" w:lineRule="auto"/>
        <w:ind w:left="2124" w:hanging="2124"/>
        <w:jc w:val="both"/>
        <w:rPr>
          <w:rFonts w:ascii="Century Gothic" w:hAnsi="Century Gothic"/>
        </w:rPr>
      </w:pPr>
      <w:r w:rsidRPr="007314E4">
        <w:rPr>
          <w:rFonts w:ascii="Century Gothic" w:hAnsi="Century Gothic"/>
          <w:b/>
        </w:rPr>
        <w:t>Zadanie nr 1</w:t>
      </w:r>
      <w:r w:rsidR="00B77597" w:rsidRPr="007314E4">
        <w:rPr>
          <w:rFonts w:ascii="Century Gothic" w:hAnsi="Century Gothic"/>
          <w:b/>
        </w:rPr>
        <w:t xml:space="preserve"> </w:t>
      </w:r>
      <w:r w:rsidR="00B77597" w:rsidRPr="007314E4">
        <w:rPr>
          <w:rFonts w:ascii="Century Gothic" w:hAnsi="Century Gothic"/>
        </w:rPr>
        <w:t xml:space="preserve">- </w:t>
      </w:r>
      <w:r w:rsidR="00B77597" w:rsidRPr="007314E4">
        <w:rPr>
          <w:rFonts w:ascii="Century Gothic" w:hAnsi="Century Gothic"/>
        </w:rPr>
        <w:tab/>
      </w:r>
      <w:r w:rsidR="0023621F">
        <w:rPr>
          <w:rFonts w:ascii="Century Gothic" w:hAnsi="Century Gothic"/>
        </w:rPr>
        <w:t>Z</w:t>
      </w:r>
      <w:r w:rsidR="0023621F" w:rsidRPr="0023621F">
        <w:rPr>
          <w:rFonts w:ascii="Century Gothic" w:hAnsi="Century Gothic"/>
        </w:rPr>
        <w:t>akup tomografu komputerowego wraz z dostosowaniem pomieszczeń or</w:t>
      </w:r>
      <w:bookmarkStart w:id="0" w:name="_GoBack"/>
      <w:bookmarkEnd w:id="0"/>
      <w:r w:rsidR="0023621F" w:rsidRPr="0023621F">
        <w:rPr>
          <w:rFonts w:ascii="Century Gothic" w:hAnsi="Century Gothic"/>
        </w:rPr>
        <w:t>az niezbędnym wyposażeniem dla Wojewódzkiego Szpitala im. Św. Ojca Pio w Przemyślu</w:t>
      </w:r>
    </w:p>
    <w:p w:rsidR="00B77597" w:rsidRPr="007314E4" w:rsidRDefault="00B77597" w:rsidP="000C52D0">
      <w:pPr>
        <w:spacing w:line="276" w:lineRule="auto"/>
        <w:rPr>
          <w:rFonts w:ascii="Century Gothic" w:hAnsi="Century Gothic"/>
          <w:b/>
        </w:rPr>
      </w:pPr>
    </w:p>
    <w:p w:rsidR="00BD1E93" w:rsidRPr="007314E4" w:rsidRDefault="003B6D5B" w:rsidP="000C52D0">
      <w:pPr>
        <w:spacing w:line="276" w:lineRule="auto"/>
        <w:rPr>
          <w:rFonts w:ascii="Century Gothic" w:hAnsi="Century Gothic"/>
        </w:rPr>
      </w:pPr>
      <w:r w:rsidRPr="007314E4">
        <w:rPr>
          <w:rFonts w:ascii="Century Gothic" w:hAnsi="Century Gothic"/>
          <w:b/>
        </w:rPr>
        <w:t xml:space="preserve">Rozdział nr I - </w:t>
      </w:r>
      <w:r w:rsidR="00413554" w:rsidRPr="007314E4">
        <w:rPr>
          <w:rFonts w:ascii="Century Gothic" w:hAnsi="Century Gothic"/>
          <w:i/>
        </w:rPr>
        <w:t>Parametry techniczne i eksploatacyjne</w:t>
      </w:r>
    </w:p>
    <w:tbl>
      <w:tblPr>
        <w:tblW w:w="1529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5387"/>
        <w:gridCol w:w="1134"/>
        <w:gridCol w:w="4976"/>
        <w:gridCol w:w="2835"/>
      </w:tblGrid>
      <w:tr w:rsidR="00AE5B39" w:rsidRPr="007314E4" w:rsidTr="00753652">
        <w:trPr>
          <w:tblHeader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</w:pPr>
            <w:bookmarkStart w:id="1" w:name="OLE_LINK1"/>
            <w:r w:rsidRPr="007314E4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  <w:t>LP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B39" w:rsidRPr="007314E4" w:rsidRDefault="00AE5B39" w:rsidP="00753652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b/>
                <w:sz w:val="16"/>
                <w:szCs w:val="20"/>
              </w:rPr>
            </w:pPr>
            <w:r w:rsidRPr="007314E4">
              <w:rPr>
                <w:rFonts w:ascii="Century Gothic" w:hAnsi="Century Gothic" w:cs="Arial"/>
                <w:b/>
                <w:sz w:val="16"/>
                <w:szCs w:val="20"/>
              </w:rPr>
              <w:t>Opis parametru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B39" w:rsidRPr="007314E4" w:rsidRDefault="00AE5B39" w:rsidP="00753652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16"/>
                <w:szCs w:val="20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>Parametr / wartość / ilość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sz w:val="16"/>
                <w:szCs w:val="20"/>
              </w:rPr>
            </w:pPr>
            <w:r w:rsidRPr="007314E4">
              <w:rPr>
                <w:rFonts w:ascii="Century Gothic" w:hAnsi="Century Gothic"/>
                <w:b/>
                <w:bCs/>
                <w:sz w:val="16"/>
                <w:szCs w:val="20"/>
              </w:rPr>
              <w:t>Parametr oferowany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  <w:t>SPOSÓB OCENY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473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7314E4" w:rsidRDefault="00AE5B39" w:rsidP="00753652">
            <w:pPr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sz w:val="20"/>
                <w:szCs w:val="20"/>
              </w:rPr>
              <w:t>Tomograf komputerowy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b/>
                <w:bCs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WYMAGANIA OGÓLNE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Tomograf komputerowy (TK) nowy wyprodukowany w 2020 roku, nieużywany, nie rekondycjonowany, w najnowszej wersji sprzętowej  i  oprogramowania na dzień składania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Tomograf komputerowy całego ciała, umożliwiający uzyskanie min. 128 warstw badanego obszaru w czasie jednego pełnego obrotu układu lampa-detektor, posiadający detektor minimum 64 rzędowy w osi 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Tomograf komputerowy umożliwiający wykonanie pełnego zakresu badań klinicznych obejmującego: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 jak poniżej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badania klatki piersiowej, jamy brzusznej i miednicy wraz z wielofazowymi i dynamicznymi badaniami </w:t>
            </w:r>
            <w:r w:rsidRPr="007314E4">
              <w:rPr>
                <w:rFonts w:ascii="Century Gothic" w:hAnsi="Century Gothic" w:cs="Arial Narrow"/>
                <w:sz w:val="20"/>
                <w:szCs w:val="20"/>
              </w:rPr>
              <w:lastRenderedPageBreak/>
              <w:t xml:space="preserve">narządów tych obszarów anatomicznych,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klatki piersiowej w wysokiej rozdzielczości (HRCT),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rozedmy płuc,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guzków płuc,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mózgowia,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naczyń domózgowych, wewnątrzczaszkowych, dużych naczyń oraz naczyń obwodowych na odcinku  min. do 150 cm, wraz z automatyczną analizą ich przebiegu oraz oceną ilościową wymiarów z grubością warstwy &lt; 0,65 mm,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naczyń wieńcowych serca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akwizycję submilimetrową (&lt; 0,65 mm)  niewielkich struktur anatomicznych, takich jak narządy wewnątrz piramid kości skroniowych,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ortopedyczne,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wielourazowe w zakresie min. 150 cm,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dynamiczne badania angiograficzne,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dynamiczne badania perfuzji głowy w zakresie min. 120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pediatryczne wykonywane przy napięciu anodowym nie większym od 80kV,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pacjentów otyłych przy napięciu anodowym nie mniejszym od 135kV.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Niezależne konsole </w:t>
            </w:r>
            <w:r w:rsidRPr="007314E4">
              <w:rPr>
                <w:rFonts w:ascii="Century Gothic" w:hAnsi="Century Gothic" w:cs="Arial Narrow"/>
                <w:bCs/>
                <w:sz w:val="20"/>
                <w:szCs w:val="20"/>
              </w:rPr>
              <w:t>:</w:t>
            </w:r>
          </w:p>
          <w:p w:rsidR="00AE5B39" w:rsidRPr="007314E4" w:rsidRDefault="00AE5B39" w:rsidP="00753652">
            <w:pPr>
              <w:spacing w:before="20" w:after="20" w:line="276" w:lineRule="auto"/>
              <w:ind w:left="116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- konsola operatorska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GANTRY i STÓŁ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Średnica otworu gantry  [cm]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&gt;= 70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FF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Kąt pochylania gantry [</w:t>
            </w: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º]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&gt;= (+/-) 30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Sterowanie gantry i stołu z min. 2 stron lub z dowolnego miejsca w pokoju badań za pomocą mobilnego urządzenia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Sterowanie ruchami stołu za pomocą przycisków nożnych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Automatyczne pozycjonowanie stołu – ustawianie pozycji referencyjnej po wybraniu na panelu sterującym umieszczonym na gantry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Wyświetlanie filmów instruktażowych dla pacjenta na monitorze umieszczonym na gantry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tak – 1 pkt., nie – 0 pkt.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  <w:highlight w:val="green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Tryb badań nagłych – wybór pacjenta, protokołu badania z listy  i uruchomienie badania bezpośrednio z gantry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  <w:highlight w:val="green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tak – 1 pkt., nie – 0 pkt.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 xml:space="preserve">Wskaźnik zatrzymania oddechu oraz możliwość nagrywania poleceń słownych w języku polskim i automatyczne ich odtwarzanie w zależności od </w:t>
            </w: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lastRenderedPageBreak/>
              <w:t>protokołów badań.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Maksymalne dopuszczalne obciążenie stołu, dla precyzji pozycjonowania ± 0,25 mm, nie mniejsze niż 220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250 [kg] i więcej – 1 pkt., mniejsze wartości – 0 pkt.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Wyposażenie stołu w:</w:t>
            </w:r>
          </w:p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- materac,</w:t>
            </w:r>
          </w:p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- podpórkę pod głowę pozbawioną elementów metalowych,</w:t>
            </w:r>
          </w:p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- podpórka pod kolana,</w:t>
            </w:r>
          </w:p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pasy lub listwy unieruchamiające </w:t>
            </w:r>
          </w:p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podpórka pod głowę i ręce </w:t>
            </w:r>
          </w:p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- osłona stołu chroniąca przed zalaniem płynami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Moduł synchronizacji akwizycji z przebiegiem EKG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GENERATOR, LAMPA RTG I DETEKTOR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Maksymalna moc generatora [kW] nie wynikająca z przeliczeń na podstawie algorytmów poprawiających jakość obraz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&gt;= 72 [kW]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72 kW –  0 pkt.,</w:t>
            </w:r>
          </w:p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 xml:space="preserve"> Poniżej 100 kW – 2 pkt.,</w:t>
            </w:r>
          </w:p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 xml:space="preserve">&gt;= 100kW – 5 pkt. 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Minimalne napięcie anodowe możliwe do zastosowania w protokołach badań [kV]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≤ 80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Maksymalne napięcie anodowe, możliwe do zastosowania w protokołach badań [kV]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≥ 135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Maksymalny prąd anody, możliwy do zastosowania w protokołach badań [mA]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≥ 400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Modulacja prądu anody w czasie rzeczywistym, jednocześnie w osiach x,y,z.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Rzeczywista pojemność cieplna anody lampy rtg [MHU]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&gt;=7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Maksymalna szybkość chłodzenia anody lampy [kHU/min]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&gt;=780 MHU/min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Liczba ognisk lampy rtg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&gt;=2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Automatyczny wybór ognisk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Detektory typu stałego – liczba rzędów detektora min. 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Szerokość detektora w osi Z odniesiona do izocentrum [mm]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&gt;=38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Liczba aktywnych elementów detektora w płaszczyźnie xy (dla 1 rzędu w osi z)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16"/>
                <w:szCs w:val="20"/>
              </w:rPr>
              <w:t>&gt;800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Odległość ognisko lampy rtg – detektor mniejsza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&lt;=100 cm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100 cm – 0 pkt.,</w:t>
            </w:r>
          </w:p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99,9 – 95 cm – 2 pkt.,</w:t>
            </w:r>
          </w:p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Poniżej 95 cm – 5 pkt.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SYSTEM SKANOWANIA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Najkrótszy czas pełnego </w:t>
            </w: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t>obrotu (360º ) układu lampa rtg – detektor [s]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≤ 0,35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t>Maksymalna szybkość skanowania [mm/s]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≥ 170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Grubość najcieńszej dostępnej warstwy rekonstruowanej z akwizycji wielowarstowej z maksymalną ilością warstw [mm]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≤ 0,65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Maksymalny zakres badania przy ciągłym skanie spiralnym/helikalnym, bez przerwy na chłodzenie lampy [cm]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≥ 180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180 cm – 0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181 – 185 cm – 2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&gt;185 cm – 5 cm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Dynamiczny kolimator ograniczający dawkę promieniowania w osi Z na początku i na końcu skanu spiralnego.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Maksymalna wartość współczynnika pitch przy akwizycji min. 64 warstw w korekcją stożka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&gt;=1,5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Długość skanu topograficznego [cm]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  <w:r w:rsidRPr="007314E4">
              <w:rPr>
                <w:rFonts w:ascii="Century Gothic" w:hAnsi="Century Gothic"/>
                <w:sz w:val="16"/>
                <w:szCs w:val="20"/>
              </w:rPr>
              <w:t xml:space="preserve"> &gt;=150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Wyświetlanie topogramu w czasie rzeczywistym z możliwością jego zatrzymania w dowolnym czasie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Maksymalne, rekonstruowane pole obrazowania FOV [cm]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≥ 50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Mozliwość rekonstrukcji pola obrazowania powyżej 50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Matryca rekonstrukcyjna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Min. 512x512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Matryca prezentacyjna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Min. 1024x1024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Rozdzielczość wysokokontrastowa w płaszczyźnie x,y, mierzona w polu akwizycyjnym FOV=50 cm w punkcie 50% charakterystyki MTF.[pl/cm]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≥ 12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10 – 0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11 – 12 – 2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Powyżej 12 – 5 pkt.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Rozdzielczość niskokontrastowa przy różnicy gęstości 3 HU, określona dla najkrótszego skanu pełnego zmierzona na fantomie CATHPAN o średnicy 20 cm, dla napięcia ≥ 120 kV, dla warstwy 10 mm [mm]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16"/>
                <w:szCs w:val="20"/>
              </w:rPr>
              <w:t>≤ 5 mm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Szybkość rekonstrukcji obrazów w matrycy 512 x 512 [obrazy/s].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pacing w:before="20" w:after="20"/>
              <w:jc w:val="center"/>
              <w:rPr>
                <w:rFonts w:ascii="Century Gothic" w:hAnsi="Century Gothic" w:cs="Arial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16"/>
                <w:szCs w:val="20"/>
              </w:rPr>
              <w:t>≥ 20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20 – 0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21 – 40 – 1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Powyżej 40 – 2 pkt.,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Niskodawkowy, iteracyjny algorytm przetwarzający dane surowe (RAW) oraz redukujący szum w obszarze obrazu, umożliwiający redukcję dawki o co najmniej 60% </w:t>
            </w: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możliwy do wykorzystania dla każdego trybu pracy, każdego rodzaju badania oraz każdego czasu skanowania.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60 – 0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61 – 80 – 2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Powyżej 80 – 5 pkt.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Dedykowany algorytm do usuwania artefaktów od metalu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KONSOLA OPERATORSKA</w:t>
            </w:r>
            <w:r w:rsidRPr="007314E4">
              <w:rPr>
                <w:rFonts w:ascii="Century Gothic" w:hAnsi="Century Gothic" w:cs="Arial Narrow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Stanowisko operatorskie - dwumonitorowa konsola akwizycyjna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Przekątna kolorowego monitora z aktywną matrycą ciekłokrystaliczną typu Flat ["]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&gt;=19’’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Pojemność dysku twardego dla obrazów bez kompresji (512x512), wyrażona liczbą obrazów.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&gt;=  300 000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Bezpośrednia rekonstrukcja warstw MPR bez </w:t>
            </w:r>
            <w:r w:rsidRPr="007314E4">
              <w:rPr>
                <w:rFonts w:ascii="Century Gothic" w:hAnsi="Century Gothic" w:cs="Arial Narrow"/>
                <w:sz w:val="20"/>
                <w:szCs w:val="20"/>
              </w:rPr>
              <w:lastRenderedPageBreak/>
              <w:t>konieczności wstępnej rekonstrukcji cienkich warstw aksjalnych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 xml:space="preserve">Tak, podać </w:t>
            </w: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Archiwizacja badań pacjentów na CD-R i DVD w standardzie DICOM 3.0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Dwukierunkowy interkom do komunikacji głosowej z pacjentem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Interfejs sieciowy zgodnie z DICOM 3.0 z następującymi klasami serwisowymi:                                                                 </w:t>
            </w:r>
          </w:p>
          <w:p w:rsidR="00FA4D9D" w:rsidRPr="007314E4" w:rsidRDefault="00FA4D9D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Send/Receive                                                                             </w:t>
            </w:r>
          </w:p>
          <w:p w:rsidR="00FA4D9D" w:rsidRPr="007314E4" w:rsidRDefault="00FA4D9D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Basic Print                                                                                  </w:t>
            </w:r>
          </w:p>
          <w:p w:rsidR="00FA4D9D" w:rsidRPr="007314E4" w:rsidRDefault="00FA4D9D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Query/ Retrieve </w:t>
            </w:r>
          </w:p>
          <w:p w:rsidR="00FA4D9D" w:rsidRPr="007314E4" w:rsidRDefault="00FA4D9D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Storage Commitment  </w:t>
            </w:r>
          </w:p>
          <w:p w:rsidR="00FA4D9D" w:rsidRPr="007314E4" w:rsidRDefault="00FA4D9D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- Worklist ,</w:t>
            </w:r>
          </w:p>
          <w:p w:rsidR="00FA4D9D" w:rsidRPr="007314E4" w:rsidRDefault="00FA4D9D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</w:t>
            </w:r>
            <w:r w:rsidRPr="007314E4">
              <w:rPr>
                <w:rFonts w:ascii="Century Gothic" w:hAnsi="Century Gothic" w:cs="Arial"/>
                <w:sz w:val="20"/>
                <w:szCs w:val="20"/>
              </w:rPr>
              <w:t>Structured Dose Report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Sterowanie dostarczoną automatyczną strzykawką. Sprzężenie min. klasy I wg. CiA 425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OPROGRAMOWANIE ZAINSTALOWANE NA KONSOLI OPERATORSKIEJ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Rekonstrukcje 2D,3D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MIP (Maximum Intensity Projection)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SSD (Surface Shaded Display)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  <w:highlight w:val="yellow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VRT (Volume Rendering Technique)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Rekonstrukcje MPR (również skośne i krzywoliniowe z danych zbieranych przy dowolnym kącie gantry)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Prezentacje cine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  <w:lang w:eastAsia="ar-SA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Pomiary geometryczne (długości / kątów / powierzchni / objętości)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  <w:lang w:eastAsia="ar-SA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Pomiary analityczne (pomiar poziomu gęstości, profile gęstości, analiza skanu dynamicznego).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Wielozadaniowość/wielodostęp, w tym możliwość automatycznej rekonstrukcji, archiwizacji i dokumentacji w tle (w trakcie skanowania).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Oprogramowanie do synchronizacji startu badania spiralnego na podstawie automatycznej analizy napływu środka cieniującego w zadanej warstwie bez wykonywania wstrzyknięć testowych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Kompletny zestaw protokołów do badania wszystkich obszarów anatomicznych , z możliwością ich projektowania i zapamiętywania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Specjalistyczny algorytm do usuwania artefaktów od metalu i protez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Automatyczne, bez udziału operatora, ustawianie zakresu badania, dla danego pacjenta, na podstawie znaczników anatomicznych topogramu i wybranego protokołu badania </w:t>
            </w:r>
          </w:p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Lub</w:t>
            </w:r>
          </w:p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Automatyczne pozycjonowanie pacjenta do określonej na gantry pozycji anatomicznej (min. 3 pozycje)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Tak – 2 pkt,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Nie – 0 pkt.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Automatyczne alarmowanie obsługi o możliwości przekroczenia dawki referencyjnej w danym badaniu (przed wykonaniem badania).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Oprogramowanie do skanowania wyzwalanego impulsami EKG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>ładownie obrazów wielofazowych, przeglądanie danych i wybieranie fazy lub faz do dalszego przetwarzania już bez faz nie mających znaczenia diagnostycznego, rejestrację obrazów z różnych faz cyklu serca w specjalnym zbiorze danych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Modulowanie promieniowania RTG sygnałem EKG przy obrazowaniu tętnic wieńcowych w czasie skanu spiralnego.(pełna dawka w wyznaczonych fazach pracy serca, obniżona w pozostałych)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Automatyczne, bez udziału operatora, ustawianie nachylenia płaszczyzn rekonstrukcji obrazu kręgów i numerowanie kręgów kręgosłupa w badaniach odcinkowych jak i całego kręgosłupa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Tak – 1 pkt,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Nie – 0 pkt.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Oprogramowanie do oceny perfuzji mózgu umożliwiające ocenę ilościową i jakościową (mapy barwne) co najmniej następujących parametrów: rBF (miejscowy przepływ krwi), rBV (miejscowa objętość krwi) oraz TTP (czas do szczytu krzywej wzmocnienia) i MTT (średni czas przejścia)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Oprogramowanie do usuwania artefaktów pochodzących od metalowych obiektów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Serwer aplikacyjny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Rozbudowa serwera będącego w posiadaniu Zamawiającego lub dostawa nowego serwera o poniższych parametrach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NormalnyWeb"/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Rozbudowa serwera o funkcjonalności z </w:t>
            </w:r>
            <w:r w:rsidRPr="007314E4">
              <w:rPr>
                <w:rFonts w:ascii="Century Gothic" w:hAnsi="Century Gothic"/>
                <w:b/>
                <w:sz w:val="20"/>
                <w:szCs w:val="20"/>
              </w:rPr>
              <w:t>pkt. 81 – 123</w:t>
            </w:r>
            <w:r w:rsidRPr="007314E4">
              <w:rPr>
                <w:rFonts w:ascii="Century Gothic" w:hAnsi="Century Gothic"/>
                <w:sz w:val="20"/>
                <w:szCs w:val="20"/>
              </w:rPr>
              <w:t xml:space="preserve"> po 1 jednoczasowej licencji dla typu oprogramowania oraz jedno stanowisko lekarskie – konsola zależna wyposażona w min. 1 monitor </w:t>
            </w:r>
            <w:r w:rsidRPr="007314E4">
              <w:rPr>
                <w:rFonts w:ascii="Century Gothic" w:hAnsi="Century Gothic"/>
                <w:sz w:val="20"/>
                <w:szCs w:val="20"/>
              </w:rPr>
              <w:lastRenderedPageBreak/>
              <w:t>medyczny o przekątnej min. 30” i monitor opisowy min. 19”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NormalnyWeb"/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Dostawa nowego serwera lub układu serwerów aplikacyjnych o poniższych parametrach wraz z jednym jednoczasowym dostępem dla funkcjonalności z pkt. </w:t>
            </w:r>
            <w:r w:rsidRPr="007314E4">
              <w:rPr>
                <w:rFonts w:ascii="Century Gothic" w:hAnsi="Century Gothic"/>
                <w:b/>
                <w:sz w:val="20"/>
                <w:szCs w:val="20"/>
              </w:rPr>
              <w:t>75 – 123</w:t>
            </w:r>
            <w:r w:rsidRPr="007314E4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FA4D9D" w:rsidRPr="007314E4" w:rsidRDefault="00FA4D9D" w:rsidP="007536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liczba procesorów: min. 2</w:t>
            </w:r>
          </w:p>
          <w:p w:rsidR="00FA4D9D" w:rsidRPr="007314E4" w:rsidRDefault="00FA4D9D" w:rsidP="007536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pamięć RAM: min. 64 GB </w:t>
            </w:r>
          </w:p>
          <w:p w:rsidR="00FA4D9D" w:rsidRPr="007314E4" w:rsidRDefault="00FA4D9D" w:rsidP="007536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wbudowana macierz w konfiguracji RAID </w:t>
            </w:r>
          </w:p>
          <w:p w:rsidR="00FA4D9D" w:rsidRPr="007314E4" w:rsidRDefault="00FA4D9D" w:rsidP="007536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pojemności macierzy: min. 2 TB</w:t>
            </w:r>
          </w:p>
          <w:p w:rsidR="00FA4D9D" w:rsidRPr="007314E4" w:rsidRDefault="00FA4D9D" w:rsidP="007536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ind w:left="714" w:hanging="357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t>serwer umożliwiający jednoczesne przetwarzanie min. 40 000 warstw</w:t>
            </w:r>
          </w:p>
          <w:p w:rsidR="00FA4D9D" w:rsidRPr="007314E4" w:rsidRDefault="00FA4D9D" w:rsidP="007536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t>trzy stanowiska lekarskie – konsole zależne wyposażone w min. 1 monitor medyczny o przekątnej min. 30” i monitor opisowy min. 19"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sz w:val="20"/>
                <w:szCs w:val="20"/>
              </w:rPr>
              <w:t>Oprogramowanie serwera aplikacyjnego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FF0000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Interfejs sieciowy zgodnie z DICOM 3.0 obsługujący następujące klasy serwisowe:                                    </w:t>
            </w:r>
          </w:p>
          <w:p w:rsidR="00FA4D9D" w:rsidRPr="007314E4" w:rsidRDefault="00FA4D9D" w:rsidP="00753652">
            <w:pPr>
              <w:numPr>
                <w:ilvl w:val="0"/>
                <w:numId w:val="28"/>
              </w:numPr>
              <w:suppressAutoHyphens/>
              <w:spacing w:before="20" w:after="20"/>
              <w:ind w:left="266" w:hanging="21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Send / Receive</w:t>
            </w:r>
          </w:p>
          <w:p w:rsidR="00FA4D9D" w:rsidRPr="007314E4" w:rsidRDefault="00FA4D9D" w:rsidP="00753652">
            <w:pPr>
              <w:numPr>
                <w:ilvl w:val="0"/>
                <w:numId w:val="28"/>
              </w:numPr>
              <w:suppressAutoHyphens/>
              <w:spacing w:before="20" w:after="20"/>
              <w:ind w:left="266" w:hanging="21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Basic Print</w:t>
            </w:r>
          </w:p>
          <w:p w:rsidR="00FA4D9D" w:rsidRPr="007314E4" w:rsidRDefault="00FA4D9D" w:rsidP="00753652">
            <w:pPr>
              <w:numPr>
                <w:ilvl w:val="0"/>
                <w:numId w:val="28"/>
              </w:numPr>
              <w:suppressAutoHyphens/>
              <w:spacing w:before="20" w:after="20"/>
              <w:ind w:left="266" w:hanging="21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Query / Retrieve</w:t>
            </w:r>
          </w:p>
          <w:p w:rsidR="00FA4D9D" w:rsidRPr="007314E4" w:rsidRDefault="00FA4D9D" w:rsidP="00753652">
            <w:pPr>
              <w:numPr>
                <w:ilvl w:val="0"/>
                <w:numId w:val="28"/>
              </w:numPr>
              <w:suppressAutoHyphens/>
              <w:spacing w:before="20" w:after="20"/>
              <w:ind w:left="266" w:hanging="21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Storage Commitment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MIP (Maximum Intensity Projection)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SSD (Surface Shaded Display)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VRT (Volume Rendering Technique)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Pomiary odległości, kąta, powierzchni, objętości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Reformatowanie wielopłaszczyznowe (MPR), rekonstrukcje wzdłuż dowolnej prostej (równoległe lub promieniste) lub po krzywej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do segmentacji i ekstrakcji struktur kostnych typu „bone removal” </w:t>
            </w:r>
            <w:r w:rsidRPr="007314E4">
              <w:rPr>
                <w:rFonts w:ascii="Century Gothic" w:hAnsi="Century Gothic"/>
                <w:b/>
                <w:sz w:val="20"/>
                <w:szCs w:val="20"/>
                <w:u w:val="single"/>
              </w:rPr>
              <w:t>lub równoważne</w:t>
            </w:r>
            <w:r w:rsidRPr="007314E4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automatycznego oznaczania kręgów kręgosłupa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automatycznego generowanie obrysu 3D kręgów kręgosłupa i tworzenia widoków MPR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automatycznego generowanie widoków skośnych, prostopadłych do trzonów kręgów i przestrzeni międzytrzonowych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z pkt. 9 - 11  możliwe do stosowania w każdym rodzaju badania: urazowym, onkologicznym, badaniu samego kręgosłupa czy obrazowaniu ogólnym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z pkt. 9 - 11 z funkcją ręcznego wstawiania, edytowania oraz usuwania etykiet trzonów kręgów według potrzeby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angiografii CT umożliwiające automatyczną identyfikację i izolację zakontrastowanego naczynia z objętości badanej (rozwinięcie wzdłuż linii centralnej naczynia, z pomiarem średnicy, pola przekroju w płaszczyźnie prostopadłej do osi naczynia, automatyczne wyznaczanie stenozy)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Segmentacja zmian ogniskowych w narządach miąższowych umożliwiająca pomiar średnicy, objętości i gęstości zmiany oraz umożliwiające porównanie zmian ogniskowych bieżącego badania </w:t>
            </w:r>
            <w:r w:rsidRPr="007314E4">
              <w:rPr>
                <w:rFonts w:ascii="Century Gothic" w:hAnsi="Century Gothic"/>
                <w:sz w:val="20"/>
                <w:szCs w:val="20"/>
              </w:rPr>
              <w:lastRenderedPageBreak/>
              <w:t>z poprzednim badaniem tego samego pacjenta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do automatycznej segmentacji 3D i oceny krwiaków w mózgu wraz z automatycznym obliczaniem objętości krwiaka oraz jego krótkiej i długiej osi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do segmentacji 3D i oceny tętniaków w mózgu wraz z automatycznym obliczaniem objętości tętniaka, minimalnej i maksymalnej długości tętniaka oraz maksymalnej i minimalnej średnicy szyjki tętniaka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oceny perfuzji mózgu umożliwiająca ocenę ilościową i jakościową (mapy barwne) co najmniej następujących parametrów: rBF (miejscowy przepływ krwi), rBV (miejscowa objętość krwi) oraz TTP (czas do szczytu krzywej wzmocnienia) lub MTT (średni czas przejścia)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Badania perfuzji mózgu oraz guzów mózgu z funkcją klasyfikacji tkankowej polegającej na segmentacji regionów niedokrwiennych mózgu na podstawie map przepływu i objętości krwi.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perfuzji mózgu umożliwiające ocenę ilościową i jakościową (mapy barwne) parametru IRF T0 (opóźnienie napływu kontrastu).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Wizualizacja map perfuzyjnych mózgowia w 3D i VRT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szybkiej diagnostyki udarów mózgu umożliwiające automatyczną fuzję obrazów poszczególnych faz napływu kontrastu i automatycznie pokazujące w różnych kolorach tętnicę, żyły i naczynia oboczne na sumarycznym obrazie.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oceny perfuzji wątroby umożliwiające ocenę ilościową i jakościową (mapy barwne) co najmniej następujących parametrów: rBF (miejscowy przepływ krwi), rBV (miejscowa objętość krwi) oraz TTP (czas do szczytu krzywej wzmocnienia) lub MTT (średni czas przejścia)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Dedykowane, zorientowane tkankowo protokoły do oceny perfuzji następujących organów: nerek, śledziony, prostaty, kości itd.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oceny zmian ogniskowych w płucach, z automatyczną identyfikacją zmian guzkowych w miąższu i przyopłucnowych przez program komputerowy, z możliwością zapamiętywania położenia zmian, oceną dynamiki wielkości zmian i rozróżnianiem charakteru guza (np. lity, częściowo lity, nie lity)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Specjalistyczne oprogramowanie do diagnostyki chorób płuc (m.in. COPD) umożliwiające obliczanie rozedmy  i analizę dróg oddechowych.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Segmentacja wszystkich pięciu płatów płuc i automatyczne obliczanie rozedmy w poszczególnych płatach płuc.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umożliwiające za pomocą jednego kliknięcia dokonanie pomiarów grubości ścian poszczególnych dróg oddechowych oraz średnicy ich światła wraz z prezentacją zewnętrznych i wewnętrznych konturów tych ścian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do oceny zwapnień naczyń wieńcowych typu Calcium Score </w:t>
            </w:r>
            <w:r w:rsidRPr="007314E4">
              <w:rPr>
                <w:rFonts w:ascii="Century Gothic" w:hAnsi="Century Gothic"/>
                <w:b/>
                <w:sz w:val="20"/>
                <w:szCs w:val="20"/>
                <w:u w:val="single"/>
              </w:rPr>
              <w:t>lub równoważny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umożliwiające badanie naczyń wieńcowych (automatyczne odrzucanie tkanek </w:t>
            </w:r>
            <w:r w:rsidRPr="007314E4">
              <w:rPr>
                <w:rFonts w:ascii="Century Gothic" w:hAnsi="Century Gothic"/>
                <w:sz w:val="20"/>
                <w:szCs w:val="20"/>
              </w:rPr>
              <w:lastRenderedPageBreak/>
              <w:t>otaczających serce, automatyczna wizualizacja całego wybranego naczynia wieńcowego – przekroje poprzeczne, przekroje podłużne, przebieg naczynia, wyznaczanie stenozy).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pozwalające 1-kliknięciem na wyodrębnianie, renderowanie i wyświetlanie obrazów 2D/3D drzewa naczyń wieńcowych z automatycznym śledzeniem naczyń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przetwarzania obrazów, służący do oceny morfologii serca, żywotności tętnic wieńcowych, perfuzji względnej, drożności przeszczepów naczyniowych omijających, przeprowadzania badań kontrolnych po interwencjach i oceny czynnościowej.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zaznaczające kolorem obszary hypoperfuzyjne, umożliwiające wykrywanie choroby niedokrwiennej serca.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automatycznego reformatowania standardowych osiowych obrazów TK jednej lub kilku faz cyklu pracy serca w widokach osi krótkiej, długiej i długiej na dwie jamy serca w celu ułatwienia przeglądu.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przeprowadzania 1- kliknięciem ocen czynności serca na sekwencjach Cine obejmujących obrazy wielu faz cyklu pracy serca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określające wartości HU składników płytki miażdżycowej i tworzące mapę barwną z możliwością dostosowania kolorów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pozwalające uzyskać z 1-klikniecia widok angiograficzny, ukazujący obraz drzewa </w:t>
            </w:r>
            <w:r w:rsidRPr="007314E4">
              <w:rPr>
                <w:rFonts w:ascii="Century Gothic" w:hAnsi="Century Gothic"/>
                <w:sz w:val="20"/>
                <w:szCs w:val="20"/>
              </w:rPr>
              <w:lastRenderedPageBreak/>
              <w:t>naczyń wieńcowych i mięśnia sercowego z automatycznym usunięciem jam serca w celu wyświetlenia widoku porównawczego na potrzeby cewnikowania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tworzenia przezroczystego modelu serca i umożliwiające wizualizację tętnic wieńcowych względem jam serca, z możliwością stopniowego usuwania jam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wyświetlające z 1-klikniecia widoki 4D zastawki aorty i zastawki mitralnej.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automatycznego wyodrębniania lewej komory z wyborem ES i ED do pomiarów frakcji wyrzutowej i objętości.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tworzenia reformatów ukośnych pozwalających uzyskać widoki pod standardowymi kątami cewnikowania w celu ułatwienia analizy naczyń wieńcowych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rejestrowania obrazów z różnych faz cyklu pracy serca do unikatowego połączonego zestawu danych, który można zapisać jako obiekt 3D lub wykorzystać do dalszej analizy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Możliwość uwidocznienia tętnic wieńcowych w prezentacji typu IVUS (wewnątrznaczyniowe badanie ultrasonograficzne) z oceną morfologii i lokalizacji blaszki miażdżycowej.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do kolonografii i kolonoskopii TK, umożliwiające w pełni swobodne poruszanie się w obrębie jelita, umożliwiające jednoczesną prezentację wnętrza jelita i projekcji przekrojów w trzech głównych płaszczyznach. Interaktywna zmiana położenia kursora we wszystkich oknach </w:t>
            </w:r>
            <w:r w:rsidRPr="007314E4">
              <w:rPr>
                <w:rFonts w:ascii="Century Gothic" w:hAnsi="Century Gothic"/>
                <w:sz w:val="20"/>
                <w:szCs w:val="20"/>
              </w:rPr>
              <w:lastRenderedPageBreak/>
              <w:t>wymienionych w punkcie powyżej. Automatyczna detekcja polipów w obrębie jelita grubego.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automatycznej wirtualnej dysekcji jelita grubego i prezentacji w postaci jednej wstęgi rozłożonej na płaszczyźnie.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Automatyczne oznaczanie i usuwanie obrazu resztek kałowych z obrazu jelita.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Jednoczesne automatyczne porównanie kilku zestawów danych tego samego pacjenta (np.: porównania badań wykonanych w tym samym dniu w różnych fazach lub porównanie badań wykonanych w znaczącym odstępie czasowym) z możliwością synchronizacji przestrzennej oraz możliwością powiązania i oceny zmian tych samych obszarów anatomicznych w czasie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automatycznej segmentacji zmian ogniskowych z automatycznym wyznaczaniem parametrów: max średnicy, objętości, średniej gęstości wraz z odchyleniem standardowym zgodnie z kryteriami WHO, RECIST1.0, RECIST1.1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Tworzenie własnych kryteriów onkologicznych oceny zmian ogniskowych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automatycznej fuzji obrazów różnych energii oraz obrazów z różnych systemów diagnostycznych: CT/MR, CT/PET, CT/SPECT, itp.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473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A4D9D" w:rsidRPr="007314E4" w:rsidRDefault="00FA4D9D" w:rsidP="00753652">
            <w:pPr>
              <w:pStyle w:val="Normal9pt"/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Wstrzykiwacz kontrastu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 w:line="276" w:lineRule="auto"/>
              <w:ind w:left="360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Automatyczny bezwkładowy wstrzykiwacz kontrastu współpracujący z materiałami zużywalnymi o sterylności przez 24 godziny, z wykorzystaniem wyłącznie materiałów eksploatacyjnych nie zawierających związków DEHP (ftalanydietylohekylu).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 xml:space="preserve">Sterowanie dostarczonym wstrzykiwaczem bezpośrednio z konsoli tomografu komputerowego, w tym możliwość programowania i zapamiętywania parametrów wstrzykiwacza bezpośrednio w protokole badania TK na konsoli operatorskiej - sprzężenie tomografu z oferowanym wstrzykiwaczem min. kl. </w:t>
            </w:r>
            <w:r w:rsidRPr="007314E4">
              <w:rPr>
                <w:rFonts w:ascii="Century Gothic" w:hAnsi="Century Gothic" w:cs="Arial"/>
                <w:color w:val="FF0000"/>
                <w:sz w:val="20"/>
                <w:szCs w:val="20"/>
              </w:rPr>
              <w:t xml:space="preserve">I </w:t>
            </w:r>
            <w:r w:rsidRPr="007314E4">
              <w:rPr>
                <w:rFonts w:ascii="Century Gothic" w:hAnsi="Century Gothic" w:cs="Arial"/>
                <w:sz w:val="20"/>
                <w:szCs w:val="20"/>
              </w:rPr>
              <w:t>zgodnie z CiA 425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Możliwość pracy na zasilaniu bateryjnym, bezprzewodowe połączenie z terminalem sterującym w oparciu o standard bluetooth.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Automatyczny raport dotyczący rzeczywistych parametrów kontrastu (co najmniej objętość, szybkość wstrzyknięcia, opóźnienie) jaką otrzymał pacjent w każdej serii dołączany do badania w postaci dodatkowej serii DICOM  z możliwością jego zapamiętania  i wydruku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Tak - 1 pkt.,</w:t>
            </w:r>
          </w:p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Nie – 0 pkt.,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 xml:space="preserve">Koszt netto materiałów jednorazowych „KMJ” w </w:t>
            </w:r>
            <w:r w:rsidRPr="007314E4">
              <w:rPr>
                <w:rFonts w:ascii="Century Gothic" w:hAnsi="Century Gothic" w:cs="Arial"/>
                <w:b/>
                <w:sz w:val="20"/>
                <w:szCs w:val="20"/>
              </w:rPr>
              <w:t>zł</w:t>
            </w:r>
            <w:r w:rsidRPr="007314E4">
              <w:rPr>
                <w:rFonts w:ascii="Century Gothic" w:hAnsi="Century Gothic" w:cs="Arial"/>
                <w:sz w:val="20"/>
                <w:szCs w:val="20"/>
              </w:rPr>
              <w:t xml:space="preserve"> do oferowanej strzykawki automatycznej, w przeliczeniu na jednego pacjenta, przy wykonywaniu 20 badań z kontrastem. </w:t>
            </w:r>
          </w:p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 xml:space="preserve">Podać dokładne wyliczenia na podstawie, których </w:t>
            </w:r>
            <w:r w:rsidRPr="007314E4">
              <w:rPr>
                <w:rFonts w:ascii="Century Gothic" w:hAnsi="Century Gothic" w:cs="Arial"/>
                <w:sz w:val="20"/>
                <w:szCs w:val="20"/>
              </w:rPr>
              <w:lastRenderedPageBreak/>
              <w:t>otrzymano końcowy KMJ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KMJ:</w:t>
            </w:r>
          </w:p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 xml:space="preserve"> &lt; 14,00 zł – 3 pkt.,</w:t>
            </w:r>
          </w:p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14,01 – 17,00 zł – 2 pkt.,</w:t>
            </w:r>
          </w:p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17,01 – 20,00 zł – 1 pkt.,</w:t>
            </w:r>
          </w:p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&gt;20,00 zł – 0 pkt.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53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Wyposażenie dodatkowe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Monitor EKG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30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Monitor zintegrowany z tomografempozwalający na bramkowanie akwizycji promieniowania sygnałem EKG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Zestaw firmowych fantomów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30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Zestaw firmowych fantomów serwisowych do kalibracji i kontroli jakości obrazowania  - 1 zestaw</w:t>
            </w:r>
          </w:p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sz w:val="20"/>
                <w:szCs w:val="20"/>
              </w:rPr>
              <w:t xml:space="preserve">Uwaga – </w:t>
            </w:r>
            <w:r w:rsidRPr="007314E4">
              <w:rPr>
                <w:rFonts w:ascii="Century Gothic" w:hAnsi="Century Gothic" w:cs="Arial Narrow"/>
                <w:sz w:val="20"/>
                <w:szCs w:val="20"/>
              </w:rPr>
              <w:t>Fantomy zgodne z Rozporządzeniem Ministra Zdrowia z dn. 18.02.2018 r. w sprawie bezpiecznego stosowania promieniowania jonizującego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Interkom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30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Interkom 2-kierunkowy sterownia-sala badań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biurko/blat roboczy pod konsolę operatorską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30"/>
              </w:numPr>
              <w:spacing w:before="20" w:after="2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biurko/blat roboczy pod konsolę operatorską kompatybilne z dostarczoną konsolą operatorską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pacing w:before="20" w:after="2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Regał na akcesoria TK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73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73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73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73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30"/>
              </w:numPr>
              <w:spacing w:before="20" w:after="2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Regał na akcesoria TK umożliwiający poukładanie dostarczonego wyposażenia w tym, zestawów firmowych fantomów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Zestaw środków ochrony osobistej przed promieniowaniem RTG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30"/>
              </w:numPr>
              <w:spacing w:before="20" w:after="2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20"/>
                <w:szCs w:val="20"/>
              </w:rPr>
              <w:t>Zestaw środków ochrony osobistej przed promieniowaniem RTG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Damskie osłony radiologiczne na gonady o wsp. pochłanialności promieniowania = 1 mm Pb; rozm. "L" 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Męskie osłony radiologiczne na gonady o wsp. pochłanialności promieniowania = 1 mm Pb; rozm. "L" 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Dziecięce osłony radiologiczne na gonady o wsp. pochłanialności promieniowania = 1 mm Pb; rozm. "L" 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osłona niecieniująca na tarczycę lateksowa powlekana bizmutem do TK - 1 kpl. = 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kołnierz na tarczycę o wsp. pochłanialności 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>promieniowania = 0,5 mm Pb;  w rozm. "L"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 xml:space="preserve">Tak, podać </w:t>
            </w: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niecieniująca osłona lateksowa pokryta bizmutem do TK na źrenicę oczu – 1 kpl. = 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niecieniująca osłona lateksowa pokryta bizmutem do TK na piersi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osłona pediatryczna niecieniująca z wkładką z pianki o gr. 10 mm - 1 szt. (rozmiar - dzieci do 5-go roku życia)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osłona do ochrony głowy o wsp. 0,5 mm Pb wokół 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>głowy i 0,25 Pb od góry;  - 1 kpl. = 2 szt. rozm. M + 1 szt. rozm.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 xml:space="preserve">Tak, podać </w:t>
            </w: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fartuch ochronny dla dzieci dwustronny typu Poncho o wsp. pochłanialności promieniowania = 0,5/0,5 mm Pb - rozm. 46x60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fartuch ochronny dla dorosłych dwustronny typu Poncho o wsp. pochłanialności promieniowania = 0,5/0,5 mm Pb – rozm. L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fartuch typu koc - 200 cm na 60 cm. do owinięcia pacjentów z rzepami mocującymi o wsp. pochłanialności promieniowania = 1 mm Pb;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53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 xml:space="preserve">SPRZĘT KOMPUTEROWY / PRACA W SIECIACH INFORMATYCZNYCH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Oferowane urządzenia posiadają  możliwość współpracy ze szpitalnymi sieciami informatycznymi RIS/PACS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Aktualizacja oprogramowania zainstalowanego w dostarczonych urządzeniach w okresie trwania gwarancji – bez dodatkowych kosztów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Do wszystkich dostarczonych urządzeń, w tym informatycznych (komputery, stacje robocze, itp.) </w:t>
            </w:r>
            <w:r w:rsidRPr="007314E4">
              <w:rPr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>oraz oprogramowania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zostaną dołączone hasła administracyjne (o ile występują), które umożliwią dostęp do serwisu wybranego przez Zamawiającego po upływie gwarancji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Lista-kontynuacja22"/>
              <w:snapToGrid w:val="0"/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bCs/>
                <w:color w:val="000000" w:themeColor="text1"/>
                <w:lang w:eastAsia="pl-PL"/>
              </w:rPr>
            </w:pPr>
            <w:r w:rsidRPr="007314E4">
              <w:rPr>
                <w:rFonts w:ascii="Century Gothic" w:hAnsi="Century Gothic"/>
                <w:color w:val="000000" w:themeColor="text1"/>
              </w:rPr>
              <w:t xml:space="preserve">Wykonawca gwarantuje, że przyszła integracja </w:t>
            </w:r>
            <w:r w:rsidRPr="007314E4">
              <w:rPr>
                <w:rFonts w:ascii="Century Gothic" w:hAnsi="Century Gothic"/>
                <w:bCs/>
                <w:color w:val="000000" w:themeColor="text1"/>
                <w:lang w:eastAsia="pl-PL"/>
              </w:rPr>
              <w:t>dostarczonego zestawu urządzeń z systemami RIS  i PACS nie będzie wymagała dodatkowych opłat. Przyszła integracja zapewni co najmniej archiwizację badań, obsługę list roboczych, utworzenie w systemach nowej pracowni i konfigurację aparatury z systemami RIS/PACS.</w:t>
            </w:r>
          </w:p>
          <w:p w:rsidR="00353E10" w:rsidRPr="007314E4" w:rsidRDefault="00353E10" w:rsidP="00753652">
            <w:pPr>
              <w:pStyle w:val="Lista-kontynuacja22"/>
              <w:snapToGrid w:val="0"/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bCs/>
                <w:color w:val="000000" w:themeColor="text1"/>
                <w:lang w:eastAsia="pl-PL"/>
              </w:rPr>
            </w:pPr>
          </w:p>
          <w:p w:rsidR="00353E10" w:rsidRPr="007314E4" w:rsidRDefault="00353E10" w:rsidP="00753652">
            <w:pPr>
              <w:pStyle w:val="Lista-kontynuacja22"/>
              <w:snapToGrid w:val="0"/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bCs/>
                <w:i/>
                <w:color w:val="000000" w:themeColor="text1"/>
                <w:lang w:eastAsia="pl-PL"/>
              </w:rPr>
            </w:pPr>
            <w:r w:rsidRPr="007314E4">
              <w:rPr>
                <w:rFonts w:ascii="Century Gothic" w:hAnsi="Century Gothic"/>
                <w:bCs/>
                <w:i/>
                <w:color w:val="000000" w:themeColor="text1"/>
                <w:lang w:eastAsia="pl-PL"/>
              </w:rPr>
              <w:t xml:space="preserve">UWAGA – jako spełnienie warunku oczekuje się zagwarantowania bezkosztowej integracji ze strony wykonawcy w postaci otwarcia bramki i nawiązania </w:t>
            </w:r>
            <w:r w:rsidRPr="007314E4">
              <w:rPr>
                <w:rFonts w:ascii="Century Gothic" w:hAnsi="Century Gothic"/>
                <w:bCs/>
                <w:i/>
                <w:color w:val="000000" w:themeColor="text1"/>
                <w:lang w:eastAsia="pl-PL"/>
              </w:rPr>
              <w:lastRenderedPageBreak/>
              <w:t>połączenia z RIS/PACS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  <w:t>Dostarczony zestaw umożliwia dodawanie dodatkowych węzłów DICOM C-STORE (np. stacje diagnostyczne, roboty nagrywające, inne repozytoria badań) bez ponoszenia dodatkowych opłat. Operacja dodawania węzłów powinna być możliwa do przeprowadzenia przez przeszkolonych pracowników Zamawiającego.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  <w:t>Wszystkie tory transmisyjne wykonane przez Wykonawcę oparte o okablowanie strukturalne będą wykonane w klasie E lub wyżej (komponenty Kat. 6 lub wyżej). Poprawność wykonania instalacji zostanie udokumentowana stosownymi pomiarami każdego toru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Wykonawca gwarantuje, że Zamawiający po zakupie będzie właścicielem licencji na dostarczone oprogramowanie (zapis nie dotyczy praw autorskich).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Zamawiający wymaga, aby Wykonawca udzielił Zamawiającemu licencji na korzystanie z zainstalowanego 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br/>
              <w:t>w urządzeniu oprogramowania serwisowego koniecznego do diagnozowania, regulowania, kalibracji, serwisowania i napraw urządzenia, przy czym: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1)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 xml:space="preserve">licencja jest udzielana na czas nieokreślony, nieodwołalna, bez możliwości jej wypowiedzenia przez Wykonawcę w okresie eksploatacji urządzenia, 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>2)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>licencja jest udzielana bez konieczności ponoszenia dodatkowych opłat, w ramach wynagrodzenia za dostawę urządzenia,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3)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>licencja jest przenoszona na osobę trzecią wraz z przeniesieniem prawa własności urządzenia,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4)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>prawo do korzystania z oprogramowania serwisowego przysługuje Zamawiającemu oraz osobom trzecim wykonującym zlecone przez Zamawiającego czynności związane z diagnozowaniem, regulowaniem, kalibracją, serwisowaniem lub naprawą urządzenia,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5)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>jeżeli do korzystania z oprogramowania serwisowego konieczne jest wprowadzenie kodów lub kluczy serwisowych lub hasła dostępu lub usunięcie blokady dostępu do oprogramowania w inny sposób, takie kody lub klucze serwisowe lub hasła dostępu lub inny sposób usunięcia blokady dostępu do oprogramowania będą przekazane Zamawiającemu przez Wykonawcę jednocześnie z przekazaniem Zamawiającemu urządzenia.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53E10" w:rsidRPr="007314E4" w:rsidRDefault="00353E10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53E10" w:rsidRPr="007314E4" w:rsidRDefault="00353E10" w:rsidP="007536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Przyłącza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 w:cs="Courier Ne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20"/>
                <w:szCs w:val="20"/>
              </w:rPr>
              <w:t>Interfejs Gigabit Ethernet. Integracja oraz konfiguracja wszystkich opisywanych urządzeń z systemem RIS/PACS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 w:cs="Courier Ne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20"/>
                <w:szCs w:val="20"/>
              </w:rPr>
              <w:t>Serwer z konfiguracją ze wskazanym systemem teleradiologicznym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 w:cs="Courier Ne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Integracja , konfiguracja oraz uruchomienie dostępu </w:t>
            </w:r>
            <w:r w:rsidRPr="007314E4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do stacji lekarskiej oraz do systemu RIS/PACS z 2 wskazanych lokalizacji.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 w:cs="Courier Ne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53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b/>
                <w:sz w:val="20"/>
                <w:szCs w:val="20"/>
              </w:rPr>
              <w:t>PRACE ADAPTACYJNE / INSTALACYJNE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Moc podłączeniowa [kVA]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W cenie oferty – wszystkie prace adaptacyjne, instalacyjne, itp. niezbędne do odbioru pracowni i aparatu przez uprawnione instytucje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Wszystkie prace – zgodnie z zapisami SIWZ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Wykonawca gwarantuje, że jego urządzenie już po oddaniu do eksploatacji nie będzie wymagało prowadzenia przez Zamawiającego dodatkowych instalacji i innych prac związanych z zasilaniem energetycznym urządzenia.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Ciężar całego systemu [kg] z rozbiciem na najbardziej istotne elementy składowe, tj.: 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- gantry,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- stół,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- konsola,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- jednostka dystrybucji.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  <w:t xml:space="preserve">UWAGA – Wykonawca gwarantuje jednocześnie, </w:t>
            </w:r>
            <w:r w:rsidRPr="007314E4">
              <w:rPr>
                <w:rFonts w:ascii="Century Gothic" w:hAnsi="Century Gothic" w:cs="Arial"/>
                <w:i/>
                <w:color w:val="000000" w:themeColor="text1"/>
                <w:sz w:val="20"/>
                <w:szCs w:val="20"/>
              </w:rPr>
              <w:t>że masa systemu nie wpłynie na dopuszczalne obciążenie stropu pracowni oraz dróg transportowych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Warunki klimatyczne wymagane podczas pracy urządzenia:</w:t>
            </w:r>
          </w:p>
          <w:p w:rsidR="00353E10" w:rsidRPr="007314E4" w:rsidRDefault="00353E10" w:rsidP="00753652">
            <w:pPr>
              <w:numPr>
                <w:ilvl w:val="0"/>
                <w:numId w:val="3"/>
              </w:numPr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zakres temperatur [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  <w:vertAlign w:val="superscript"/>
              </w:rPr>
              <w:t>0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C]</w:t>
            </w:r>
          </w:p>
          <w:p w:rsidR="00353E10" w:rsidRPr="007314E4" w:rsidRDefault="00353E10" w:rsidP="00753652">
            <w:pPr>
              <w:numPr>
                <w:ilvl w:val="0"/>
                <w:numId w:val="3"/>
              </w:numPr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>zakres wilgotności [%]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Dopuszczalne zmiany warunków klimatycznych podczas pracy:</w:t>
            </w:r>
          </w:p>
          <w:p w:rsidR="00353E10" w:rsidRPr="007314E4" w:rsidRDefault="00353E10" w:rsidP="00753652">
            <w:pPr>
              <w:numPr>
                <w:ilvl w:val="0"/>
                <w:numId w:val="3"/>
              </w:numPr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temperatura [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  <w:vertAlign w:val="superscript"/>
              </w:rPr>
              <w:t>0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C/godz]</w:t>
            </w:r>
          </w:p>
          <w:p w:rsidR="00353E10" w:rsidRPr="007314E4" w:rsidRDefault="00353E10" w:rsidP="00753652">
            <w:pPr>
              <w:numPr>
                <w:ilvl w:val="0"/>
                <w:numId w:val="3"/>
              </w:numPr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zakres wilgotności [% / godz]]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Ilość ciepła emitowana do pomieszczenia badań w trakcie skanowania [kW]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W przypadku potrzeby dodatkowego odprowadzenia ciepła z oferowanego systemu, urządzeń zasilających, peryferyjnych i komputerów zostanie dostarczony i zainstalowany odpowiedni system zapewniający pracę systemu w warunkach zgodnych z wytycznymi producenta (po stronie wykonawcy wszystkie ewentualne prace i czynności projektowe i wykonawcze)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Wykonawca uzyska i przygotuje we własnym zakresie i na własny koszt niezbędne uzgodnienia, opinie, decyzje, mapy i inne dokumenty niezbędne do celów projektowych.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Przed rozpoczęciem jakichkolwiek prac adaptacyjnych Wykonawca musi posiadać wymagane pozwolenia (w tym pozwolenie na budowę) lub złożyć Zamawiającemu oświadczenie, że określone pozwolenie nie jest wymagane.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 xml:space="preserve">Dla zapewnienia realizacji wszystkich niezbędnych prac o charakterze remontowo-budowlanym Wykonawca zapewni kierowników robót w </w:t>
            </w:r>
            <w:r w:rsidRPr="007314E4">
              <w:rPr>
                <w:rFonts w:ascii="Century Gothic" w:hAnsi="Century Gothic" w:cs="Arial"/>
                <w:sz w:val="20"/>
                <w:szCs w:val="20"/>
              </w:rPr>
              <w:lastRenderedPageBreak/>
              <w:t>odpowiednich branżach. Kierownicy robot muszą posiadać stosowne i aktualne przez cały okres inwestycji uprawnienia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Zrealizowane przez Wykonawcę prace o charakterze remontowo-budowlanym mają gwarantować uzyskanie pozytywnych decyzji o dopuszczeniu do użytkowania pracowni przez uprawnione instytucje (w tym: Wojewódzką Stację Sanitarno - Epidemiologiczną, Państwową Straż Pożarną i Państwową Inspekcję Pracy oraz inne – o ile są wymagane)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bCs/>
                <w:color w:val="000000" w:themeColor="text1"/>
                <w:sz w:val="20"/>
                <w:szCs w:val="20"/>
              </w:rPr>
              <w:t xml:space="preserve">Wykonawca dostosuje istniejącą i wykona nową niezbędną instalację elektryczną, teletechniczną oraz inne niezbędne instalacje do prawidłowego zamontowania, uruchomienia i użytkowania urządzenia, jak również wykona wszystkie wynikające z tego dostosowania roboty ogólnobudowlane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Lista-kontynuacja2"/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lang w:eastAsia="en-US"/>
              </w:rPr>
            </w:pPr>
            <w:r w:rsidRPr="007314E4">
              <w:rPr>
                <w:rFonts w:ascii="Century Gothic" w:hAnsi="Century Gothic"/>
                <w:color w:val="000000" w:themeColor="text1"/>
                <w:lang w:eastAsia="en-US"/>
              </w:rPr>
              <w:t>Pełna dokumentacja powykonawcza zawierająca dokumentację architektoniczną, budowlaną, instalacyjną w tym informacje elektryczne (m. in. przebiegi obciążeń aparatu w funkcji czasu 1 cyklu badań)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Wykonawca jest odpowiedzialny za realizację całokształtu prac adaptacyjnych i instalacyjnych przy współpracy z inspektorami nadzoru Zamawiającego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Adaptacja istniejącej pracowni CT w zakresie </w:t>
            </w:r>
            <w:r w:rsidRPr="007314E4">
              <w:rPr>
                <w:rFonts w:ascii="Century Gothic" w:hAnsi="Century Gothic"/>
                <w:sz w:val="20"/>
                <w:szCs w:val="20"/>
              </w:rPr>
              <w:lastRenderedPageBreak/>
              <w:t>niezbędnym do spełnienia wszystkich wytycznych instalacyjnych producenta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W cenie oferty – prace porządkowe, odbiór zbędnych opakowań, substancji szkodliwych (o ile występują), naprawa szkód (o ile wystąpią podczas dostawy i montażu)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61A9" w:rsidRPr="007314E4" w:rsidTr="006F2A0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61A9" w:rsidRPr="007314E4" w:rsidRDefault="006261A9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53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61A9" w:rsidRPr="007314E4" w:rsidRDefault="006261A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POZOSTAŁE WYMAGANIA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61A9" w:rsidRPr="007314E4" w:rsidRDefault="006261A9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6261A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kapitzlist"/>
              <w:numPr>
                <w:ilvl w:val="0"/>
                <w:numId w:val="35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Testy akceptacyjne, specjalistyczne i projekt ochrony radiologicznej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61A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kapitzlist"/>
              <w:numPr>
                <w:ilvl w:val="1"/>
                <w:numId w:val="35"/>
              </w:numPr>
              <w:spacing w:before="20" w:after="20"/>
              <w:ind w:left="473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Wykonanie testów akceptacyjnych po zainstalowaniu urządzenia– </w:t>
            </w:r>
            <w:r w:rsidRPr="007314E4">
              <w:rPr>
                <w:rFonts w:ascii="Century Gothic" w:hAnsi="Century Gothic" w:cs="Arial Narrow"/>
                <w:bCs/>
                <w:sz w:val="20"/>
                <w:szCs w:val="20"/>
              </w:rPr>
              <w:t>zawarte w cenie oferty, ponadto: testy specjalistyczne, pomiary mocy dawki,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dostarczenie wyników najpóźniej 7 dni od dostawy urządzenia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61A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kapitzlist"/>
              <w:numPr>
                <w:ilvl w:val="1"/>
                <w:numId w:val="35"/>
              </w:numPr>
              <w:spacing w:before="20" w:after="20"/>
              <w:ind w:left="473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9B7699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Cs/>
                <w:sz w:val="20"/>
                <w:szCs w:val="20"/>
              </w:rPr>
              <w:t>Projekt osłon radiologicznych,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załączyć przy dostawie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bookmarkEnd w:id="1"/>
    </w:tbl>
    <w:p w:rsidR="00761FC5" w:rsidRPr="007314E4" w:rsidRDefault="00761FC5" w:rsidP="000C52D0">
      <w:pPr>
        <w:spacing w:line="276" w:lineRule="auto"/>
        <w:rPr>
          <w:rFonts w:ascii="Century Gothic" w:hAnsi="Century Gothic"/>
          <w:b/>
        </w:rPr>
      </w:pPr>
    </w:p>
    <w:p w:rsidR="00DB683C" w:rsidRPr="007314E4" w:rsidRDefault="00B77597" w:rsidP="00867694">
      <w:pPr>
        <w:spacing w:line="276" w:lineRule="auto"/>
        <w:rPr>
          <w:rFonts w:ascii="Century Gothic" w:hAnsi="Century Gothic"/>
          <w:i/>
        </w:rPr>
      </w:pPr>
      <w:r w:rsidRPr="007314E4">
        <w:rPr>
          <w:rFonts w:ascii="Century Gothic" w:hAnsi="Century Gothic"/>
          <w:b/>
        </w:rPr>
        <w:br w:type="column"/>
      </w:r>
      <w:r w:rsidRPr="007314E4">
        <w:rPr>
          <w:rFonts w:ascii="Century Gothic" w:hAnsi="Century Gothic"/>
          <w:b/>
          <w:shd w:val="clear" w:color="auto" w:fill="D9D9D9" w:themeFill="background1" w:themeFillShade="D9"/>
        </w:rPr>
        <w:lastRenderedPageBreak/>
        <w:t xml:space="preserve">Rozdział nr II - </w:t>
      </w:r>
      <w:r w:rsidR="00DB683C" w:rsidRPr="007314E4">
        <w:rPr>
          <w:rFonts w:ascii="Century Gothic" w:hAnsi="Century Gothic"/>
          <w:i/>
          <w:shd w:val="clear" w:color="auto" w:fill="D9D9D9" w:themeFill="background1" w:themeFillShade="D9"/>
        </w:rPr>
        <w:t>Gwarancja i obsługa serwisowa (gwarancyjna i pogwarancyjna)</w:t>
      </w:r>
    </w:p>
    <w:p w:rsidR="00EF3364" w:rsidRPr="007314E4" w:rsidRDefault="00EF3364" w:rsidP="00867694">
      <w:pPr>
        <w:spacing w:line="276" w:lineRule="auto"/>
        <w:rPr>
          <w:rFonts w:ascii="Century Gothic" w:hAnsi="Century Gothic"/>
        </w:rPr>
      </w:pP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394"/>
        <w:gridCol w:w="1133"/>
        <w:gridCol w:w="4112"/>
        <w:gridCol w:w="2835"/>
        <w:gridCol w:w="1984"/>
      </w:tblGrid>
      <w:tr w:rsidR="00DB683C" w:rsidRPr="007314E4" w:rsidTr="005F62A2">
        <w:trPr>
          <w:trHeight w:val="1008"/>
        </w:trPr>
        <w:tc>
          <w:tcPr>
            <w:tcW w:w="710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tabs>
                <w:tab w:val="left" w:pos="1832"/>
                <w:tab w:val="left" w:pos="2748"/>
                <w:tab w:val="left" w:pos="3664"/>
                <w:tab w:val="center" w:pos="453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9072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L.P.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color w:val="00000A"/>
                <w:sz w:val="16"/>
                <w:szCs w:val="20"/>
                <w:lang w:eastAsia="zh-CN"/>
              </w:rPr>
              <w:t>Opis parametrów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 xml:space="preserve">Parametr / wartość / ilość 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Nr strony oferty potwierdzającej parametr oferowany</w:t>
            </w:r>
          </w:p>
        </w:tc>
      </w:tr>
      <w:tr w:rsidR="00DB683C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Gwarancja </w:t>
            </w:r>
            <w:r w:rsidR="006261A9" w:rsidRPr="007314E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min. 24 miesięcy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od dnia instalacji po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twierdzonej protokołem uruchomienia i prze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kaza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nia urządzenia</w:t>
            </w:r>
          </w:p>
          <w:p w:rsidR="00DB683C" w:rsidRPr="007314E4" w:rsidRDefault="003E4A3D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</w:t>
            </w:r>
          </w:p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UWAGA1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- gwarancja na cał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wity przedmiot zamówienia w tym</w:t>
            </w:r>
            <w:r w:rsidR="00EB0BCD"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na lampę RTG i detektor, wstrzykiwacz kontrastu,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na system, oprogramowanie, licencje oraz inne elementy składowe, bez żadnych wyłączeń</w:t>
            </w:r>
          </w:p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UWAGA 2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– należy podać pełną liczbę mie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sięcy. Wartości ułamkowe będą przy ocenie za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okrąglane w dół – do pełnych miesięcy,</w:t>
            </w:r>
          </w:p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/>
                <w:b/>
                <w:color w:val="000000"/>
                <w:sz w:val="20"/>
                <w:szCs w:val="20"/>
                <w:lang w:eastAsia="en-US"/>
              </w:rPr>
              <w:t>UWAGA 3</w:t>
            </w:r>
            <w:r w:rsidRPr="007314E4">
              <w:rPr>
                <w:rFonts w:ascii="Century Gothic" w:eastAsia="Calibri" w:hAnsi="Century Gothic"/>
                <w:color w:val="000000"/>
                <w:sz w:val="20"/>
                <w:szCs w:val="20"/>
                <w:lang w:eastAsia="en-US"/>
              </w:rPr>
              <w:t xml:space="preserve"> – maksymalny okres gwarancji 8 lat.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DB683C" w:rsidRPr="007314E4" w:rsidRDefault="006261A9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24 miesięcy</w:t>
            </w:r>
            <w:r w:rsidR="00EB0BCD"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 xml:space="preserve"> gwarancji - 0 pkt.,</w:t>
            </w:r>
          </w:p>
          <w:p w:rsidR="00EB0BCD" w:rsidRPr="007314E4" w:rsidRDefault="006261A9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36 miesięcy gwarancji –</w:t>
            </w:r>
            <w:r w:rsidR="00E43A34"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 xml:space="preserve"> 3</w:t>
            </w: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 xml:space="preserve"> pkt.,</w:t>
            </w:r>
          </w:p>
          <w:p w:rsidR="00EB0BCD" w:rsidRPr="007314E4" w:rsidRDefault="006261A9" w:rsidP="006261A9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48 i więcej miesięcy gwarancji – 5 pkt.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DB683C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Przedłużenie okresu gwarancji o każdy dzień trwa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jącej naprawy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B0BCD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 okresie gwarancji wykonawcę obowiązuje wykonywanie testów specjalistycznych (realizowanych przez jednostki posiadających wymaganą w momencie wykonywania tych czynności akredytację)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B0BCD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Opieka techniczna, wymagane zgodnie z zale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ceniami producenta przeglądy okre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sowe wykonane przez autoryzowany serwis wraz z zestawami do przeglądu na koszt oferenta przez okres gwarancji. 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B0BCD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Zapewnienie dostępności części zamiennych i serwisu przez okres 10 lat od daty zainstalowania aparatu. Powyższe nie dotyczy oprogramowania i sprzętu komputerowego, dla którego Wykonawca zapewnia 5 letnią dostępność części zamiennych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B0BCD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B0BCD" w:rsidRPr="007314E4" w:rsidRDefault="008D257D" w:rsidP="008D257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  <w:t>Wymiana każdego podzespołu na nowy po jego drugiej naprawie. Trzecia naprawa skutkuje wymianą elementu na nowy.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867694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867694" w:rsidRPr="007314E4" w:rsidRDefault="00867694" w:rsidP="00867694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867694" w:rsidRPr="007314E4" w:rsidRDefault="00867694" w:rsidP="0086769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Zdalna diagnostyka przez chronione łącze z możliwością rejestracji i odczytu online rejestrów błędów, oraz monitorowaniem systemu(uwaga – całość ewentualnych prac i wyposażenia sprzętowego, które będzie służyło tej funkcjonalności po stronie wykonawcy)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867694" w:rsidRPr="007314E4" w:rsidRDefault="00867694" w:rsidP="0086769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867694" w:rsidRPr="007314E4" w:rsidRDefault="00867694" w:rsidP="0086769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867694" w:rsidRPr="007314E4" w:rsidRDefault="00867694" w:rsidP="0086769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867694" w:rsidRPr="007314E4" w:rsidRDefault="00867694" w:rsidP="0086769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6472AF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Autoryzowany serwis gwarancyjny i pogwaran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cyjny na terenie Rzeczpospolitej Polskiej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6472AF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Aktualizacja oprogramowania do najnowszych wersji zainstalowanego w dostarczonych urządzeniach w okresie trwania gwarancji.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6472AF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Aparat oraz wszystkie oferowane urządzenia pozbawione haseł, kodów, blokad serwi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sowych, itp., które po upływie gwarancji utrudnia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łyby właścicielowi dostęp do opcji serwi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 lub naprawę aparatu i urządzeń przez inny niż Wy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konawca umowy podmiot, w przypadku nie ko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rzystania przez zamawiającego z serwisu po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gwarancyjnego Wy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konawcy lub udostępnienie haseł, kodów serwiso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wych, itp., załączonych najpóźniej w ostatnim dniu gwarancji – dotyczy kompletnego przedmiotu zamówienia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</w:tbl>
    <w:p w:rsidR="00DB683C" w:rsidRPr="007314E4" w:rsidRDefault="00DB683C" w:rsidP="000C52D0">
      <w:pPr>
        <w:spacing w:line="276" w:lineRule="auto"/>
        <w:rPr>
          <w:rFonts w:ascii="Century Gothic" w:hAnsi="Century Gothic"/>
          <w:b/>
          <w:sz w:val="10"/>
        </w:rPr>
      </w:pPr>
    </w:p>
    <w:p w:rsidR="00B02E58" w:rsidRPr="007314E4" w:rsidRDefault="00EF3364" w:rsidP="00B02E58">
      <w:pPr>
        <w:rPr>
          <w:rFonts w:ascii="Century Gothic" w:hAnsi="Century Gothic"/>
          <w:b/>
        </w:rPr>
      </w:pPr>
      <w:r w:rsidRPr="007314E4">
        <w:rPr>
          <w:rFonts w:ascii="Century Gothic" w:hAnsi="Century Gothic"/>
          <w:b/>
          <w:bCs/>
          <w:sz w:val="22"/>
          <w:szCs w:val="22"/>
        </w:rPr>
        <w:br w:type="column"/>
      </w:r>
      <w:r w:rsidR="00B02E58" w:rsidRPr="007314E4">
        <w:rPr>
          <w:rFonts w:ascii="Century Gothic" w:hAnsi="Century Gothic"/>
          <w:b/>
          <w:bCs/>
          <w:sz w:val="22"/>
          <w:szCs w:val="22"/>
        </w:rPr>
        <w:lastRenderedPageBreak/>
        <w:t xml:space="preserve">Pogwarancyjna obsługa serwisowa – </w:t>
      </w:r>
      <w:r w:rsidR="00B02E58" w:rsidRPr="007314E4">
        <w:rPr>
          <w:rFonts w:ascii="Century Gothic" w:hAnsi="Century Gothic"/>
          <w:b/>
          <w:bCs/>
          <w:sz w:val="22"/>
          <w:szCs w:val="22"/>
          <w:u w:val="single"/>
        </w:rPr>
        <w:t>koszty eksploatacji</w:t>
      </w:r>
      <w:r w:rsidR="00B02E58" w:rsidRPr="007314E4">
        <w:rPr>
          <w:rFonts w:ascii="Century Gothic" w:hAnsi="Century Gothic"/>
          <w:b/>
          <w:bCs/>
          <w:sz w:val="22"/>
          <w:szCs w:val="22"/>
        </w:rPr>
        <w:t xml:space="preserve"> </w:t>
      </w:r>
    </w:p>
    <w:tbl>
      <w:tblPr>
        <w:tblW w:w="13893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709"/>
        <w:gridCol w:w="4395"/>
        <w:gridCol w:w="1418"/>
        <w:gridCol w:w="4819"/>
        <w:gridCol w:w="2552"/>
      </w:tblGrid>
      <w:tr w:rsidR="006472AF" w:rsidRPr="007314E4" w:rsidTr="006472AF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</w:tr>
      <w:tr w:rsidR="006472AF" w:rsidRPr="007314E4" w:rsidTr="006472A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B02E58">
            <w:pPr>
              <w:numPr>
                <w:ilvl w:val="0"/>
                <w:numId w:val="21"/>
              </w:numPr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>Gwarantowany pogwarancyjny koszt rocznych przeglądów technicznych „GKPT” (wartość brutto, waluta PLN) wykonany przez autoryzowany serwis zgodnie z zaleceniami producenta wraz z zestawami do przeglądu, wiążący przez 5 lat po okresie gwarancji</w:t>
            </w:r>
          </w:p>
          <w:p w:rsidR="006472AF" w:rsidRPr="007314E4" w:rsidRDefault="006472AF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*GKPT obejmuje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7314E4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K</w:t>
            </w:r>
            <w:r w:rsidRPr="007314E4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 = ………………………………………….,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7314E4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= ………………………………………….,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gdzie: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K</w:t>
            </w:r>
            <w:r w:rsidRPr="007314E4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koszt przeglądu technicznego,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n</w:t>
            </w:r>
            <w:r w:rsidRPr="007314E4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liczba przeglądów technicznych wykonywanych w okresie jednego roku przez autoryzowany serwis zgodnie z zaleceniami producenta.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Gwarantowany pogwarancyjny koszt rocznych przeglądów technicznych (GKPT):</w:t>
            </w:r>
          </w:p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K</w:t>
            </w:r>
            <w:r w:rsidRPr="007314E4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• n</w:t>
            </w:r>
            <w:r w:rsidRPr="007314E4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</w:p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6472AF" w:rsidRPr="007314E4" w:rsidRDefault="006472AF" w:rsidP="00477C1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„MAX” pkt. 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>Pozostałe proporcjonalnie*</w:t>
            </w:r>
          </w:p>
        </w:tc>
      </w:tr>
      <w:tr w:rsidR="006472AF" w:rsidRPr="007314E4" w:rsidTr="006472A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B02E58">
            <w:pPr>
              <w:numPr>
                <w:ilvl w:val="0"/>
                <w:numId w:val="21"/>
              </w:numPr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>Gwarantowany koszt rocznego, pełnego kontraktu serwisowego „GKRS” (wartość brutto, waluta PLN) zawierającego wszystkie koszty w tym robociznę oraz wszystkie części zamienne w tym lampę RTG i detektor, możliwego do zawarcia po upływie okresu gwarancyjnego, wiążący przez okres 5 lat  po upływie gwarancji</w:t>
            </w:r>
          </w:p>
          <w:p w:rsidR="006472AF" w:rsidRPr="007314E4" w:rsidRDefault="006472AF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*GKRS obejmuje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7314E4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GKRS = …………………………………...,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6472AF" w:rsidRPr="007314E4" w:rsidRDefault="006472AF" w:rsidP="00477C1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„MAX” pkt. 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>Pozostałe proporcjonalnie*</w:t>
            </w:r>
          </w:p>
        </w:tc>
      </w:tr>
    </w:tbl>
    <w:p w:rsidR="008B45E3" w:rsidRPr="007314E4" w:rsidRDefault="00B02E58" w:rsidP="00B02E58">
      <w:pPr>
        <w:rPr>
          <w:rFonts w:ascii="Century Gothic" w:hAnsi="Century Gothic"/>
          <w:b/>
        </w:rPr>
      </w:pPr>
      <w:r w:rsidRPr="007314E4">
        <w:rPr>
          <w:rFonts w:ascii="Century Gothic" w:hAnsi="Century Gothic"/>
          <w:b/>
        </w:rPr>
        <w:t xml:space="preserve"> </w:t>
      </w:r>
    </w:p>
    <w:p w:rsidR="00DB683C" w:rsidRPr="007314E4" w:rsidRDefault="008B45E3" w:rsidP="000C52D0">
      <w:pPr>
        <w:spacing w:line="276" w:lineRule="auto"/>
        <w:rPr>
          <w:rFonts w:ascii="Century Gothic" w:hAnsi="Century Gothic"/>
          <w:i/>
        </w:rPr>
      </w:pPr>
      <w:r w:rsidRPr="007314E4">
        <w:rPr>
          <w:rFonts w:ascii="Century Gothic" w:hAnsi="Century Gothic"/>
          <w:b/>
        </w:rPr>
        <w:br w:type="column"/>
      </w:r>
      <w:r w:rsidR="00DB683C" w:rsidRPr="007314E4">
        <w:rPr>
          <w:rFonts w:ascii="Century Gothic" w:hAnsi="Century Gothic"/>
          <w:b/>
        </w:rPr>
        <w:lastRenderedPageBreak/>
        <w:t xml:space="preserve">Rozdział nr III – </w:t>
      </w:r>
      <w:r w:rsidR="00DB683C" w:rsidRPr="007314E4">
        <w:rPr>
          <w:rFonts w:ascii="Century Gothic" w:hAnsi="Century Gothic"/>
          <w:i/>
        </w:rPr>
        <w:t>dodatkowe informacje</w:t>
      </w:r>
    </w:p>
    <w:p w:rsidR="00DB683C" w:rsidRPr="007314E4" w:rsidRDefault="00DB683C" w:rsidP="000C52D0">
      <w:pPr>
        <w:spacing w:line="276" w:lineRule="auto"/>
        <w:rPr>
          <w:rFonts w:ascii="Century Gothic" w:hAnsi="Century Gothic"/>
          <w:i/>
        </w:rPr>
      </w:pP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1133"/>
        <w:gridCol w:w="5529"/>
        <w:gridCol w:w="2268"/>
      </w:tblGrid>
      <w:tr w:rsidR="006F2A00" w:rsidRPr="007314E4" w:rsidTr="006F2A00">
        <w:tc>
          <w:tcPr>
            <w:tcW w:w="568" w:type="dxa"/>
            <w:vAlign w:val="center"/>
            <w:hideMark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5670" w:type="dxa"/>
            <w:vAlign w:val="center"/>
            <w:hideMark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  <w:t>Parametr</w:t>
            </w:r>
          </w:p>
        </w:tc>
        <w:tc>
          <w:tcPr>
            <w:tcW w:w="1133" w:type="dxa"/>
            <w:vAlign w:val="center"/>
            <w:hideMark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5529" w:type="dxa"/>
            <w:vAlign w:val="center"/>
            <w:hideMark/>
          </w:tcPr>
          <w:p w:rsidR="006F2A00" w:rsidRPr="007314E4" w:rsidRDefault="006F2A00" w:rsidP="009D72F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  <w:t>Parametr oferowany</w:t>
            </w:r>
          </w:p>
        </w:tc>
        <w:tc>
          <w:tcPr>
            <w:tcW w:w="2268" w:type="dxa"/>
            <w:vAlign w:val="center"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  <w:t>Nr strony oferty potwierdzającej parametr oferowany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0C52D0">
            <w:pPr>
              <w:spacing w:before="40" w:after="40" w:line="276" w:lineRule="auto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0C52D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b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do oferty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0C52D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9D72F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Wymagane do oferty dokumenty poświad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czające dopuszczenie do obrotu oferowa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nych wyrobów, w tym co najmniej: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ab/>
              <w:t xml:space="preserve">–  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>deklaracja zgodności,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 xml:space="preserve">–  certyfikat CE </w:t>
            </w:r>
            <w:r w:rsidRPr="007314E4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– wymagany tylko w przypadku gdy przedmiot zamówienia jest wyrobem medycznym zakwalifikowanym do klasy: I sterylna, I z funkcją pomiarową, IIA, IIB, III zgodnie z ustawą z dnia 20 maja 2010r. o wyrobach medycznych (Dz.U.2020.0.186) oraz 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czych lub powiadomienie Prezesa Urzędu Re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jestracji Produktów Leczniczych, Wyrobów Medycznych i Produktów Biobójczych o wprowadzeniu wyrobu medycznego do uży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 xml:space="preserve">wania </w:t>
            </w:r>
            <w:r w:rsidRPr="007314E4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(ustawa z dnia 20 maja 2010r. o wyro</w:t>
            </w:r>
            <w:r w:rsidRPr="007314E4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softHyphen/>
              <w:t xml:space="preserve">bach medycznych (Dz.U.2020.0.186) oraz ROZPORZĄDZENIA PARLAMENTU EUROPEJSKIEGO I RADY (UE) 2017/745 z dnia 5 kwietnia 2017 r. w sprawie wyrobów medycznych, zmiany dyrektywy 2001/83/WE, rozporządzenia (WE) nr 178/2002 i rozporządzenia </w:t>
            </w:r>
            <w:r w:rsidRPr="007314E4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lastRenderedPageBreak/>
              <w:t>(WE) nr 1223/2009 oraz uchylenia dyrektyw Rady 90/385/EWG i 93/42/EWG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7314E4">
              <w:rPr>
                <w:rFonts w:ascii="Century Gothic" w:hAnsi="Century Gothic"/>
                <w:color w:val="000000"/>
                <w:sz w:val="16"/>
                <w:szCs w:val="18"/>
              </w:rPr>
              <w:t>*</w:t>
            </w:r>
            <w:r w:rsidRPr="007314E4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 xml:space="preserve"> Deklaracja zgodności i certyfikat CE na cały przedmiot zamówienia, nie na części składowe, zgodna z aktualnie obowiązującym prawem (w tym dyrektywy UE)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lastRenderedPageBreak/>
              <w:t>Tak, podać i załączyć do oferty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pStyle w:val="Akapitzlist"/>
              <w:ind w:left="0"/>
              <w:rPr>
                <w:rFonts w:ascii="Century Gothic" w:hAnsi="Century Gothic"/>
                <w:color w:val="000000" w:themeColor="text1"/>
                <w:szCs w:val="16"/>
                <w:lang w:val="pl-PL"/>
              </w:rPr>
            </w:pPr>
            <w:r w:rsidRPr="007314E4">
              <w:rPr>
                <w:rFonts w:ascii="Century Gothic" w:hAnsi="Century Gothic"/>
                <w:color w:val="000000" w:themeColor="text1"/>
                <w:szCs w:val="16"/>
                <w:lang w:val="pl-PL"/>
              </w:rPr>
              <w:t>Dane techniczne urządzenia (parametry promieniowania, filtracji, itp.)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Struktura serwisowa gwarantująca realizację wymogów stawianych w niniejszej specyfikacji – należy podać wykaz serwisów i/lub serwisantów posiadających uprawnienia do obsługi serwisowej oferowanych urządzeń (należy podać dane teleadresowe, sposób kontaktu i liczbę osób serwisu własnego lub podwykonawcy posiadającego uprawnienia do tego typu działalności)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podać i wskazać podmioty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b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po ocenie ofert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Potwierdzenie parametrów </w:t>
            </w:r>
            <w:r w:rsidRPr="007314E4">
              <w:rPr>
                <w:rFonts w:ascii="Century Gothic" w:hAnsi="Century Gothic"/>
                <w:color w:val="000000"/>
                <w:sz w:val="20"/>
              </w:rPr>
              <w:t>technicznych od</w:t>
            </w:r>
            <w:r w:rsidRPr="007314E4">
              <w:rPr>
                <w:rFonts w:ascii="Century Gothic" w:hAnsi="Century Gothic"/>
                <w:color w:val="000000"/>
                <w:sz w:val="20"/>
              </w:rPr>
              <w:softHyphen/>
              <w:t>powiednimi skanami instrukcji obsługi, instrukcji serwisowej, kart katalogowych lub ska</w:t>
            </w:r>
            <w:r w:rsidRPr="007314E4">
              <w:rPr>
                <w:rFonts w:ascii="Century Gothic" w:hAnsi="Century Gothic"/>
                <w:color w:val="000000"/>
                <w:sz w:val="20"/>
              </w:rPr>
              <w:softHyphen/>
              <w:t>nami broszur w języku polskim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przez Wykonawcę, którego oferta została oceniona najwyżej. </w:t>
            </w:r>
          </w:p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16"/>
              </w:rPr>
              <w:t xml:space="preserve">UWAGA 1 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t>– w przypadku braku dokumentu w języku polskim należy załączyć dokument w języku obcym wraz z jego tłumaczeniem,,</w:t>
            </w:r>
          </w:p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16"/>
              </w:rPr>
              <w:t xml:space="preserve">UWAGA 2 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t>– w przypadku braku możliwości potwierdzenia któregokolwiek z parametrów z rozdz. I skanami instrukcji obsługi, instrukcji serwisowej, kart katalogowych lub skanami broszur Zamawiający dopuszcza aby te parametry zostały potwierdzone oświadczeniem producenta lub autoryzowanego na terenie Rzeczypospolitej Polskiej przedstawiciela producenta</w:t>
            </w:r>
          </w:p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16"/>
              </w:rPr>
              <w:t xml:space="preserve">UWAGA 3 – 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t>Zamawiający wymaga aby na po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softHyphen/>
              <w:t xml:space="preserve">twierdzeniach parametrów technicznych znajdowały się odnośniki do konkretnego 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lastRenderedPageBreak/>
              <w:t xml:space="preserve">parametru z załącznika nr 2 w następującej postaci: </w:t>
            </w:r>
            <w:r w:rsidRPr="007314E4">
              <w:rPr>
                <w:rFonts w:ascii="Century Gothic" w:hAnsi="Century Gothic"/>
                <w:b/>
                <w:color w:val="FF0000"/>
                <w:sz w:val="16"/>
              </w:rPr>
              <w:t>l.p. nr parametru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przy dostawie 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Instrukcja obsługi w języku polskim w </w:t>
            </w: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wersji papie</w:t>
            </w: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softHyphen/>
              <w:t>rowej i elektronicznej na płycie CD/DVD lub innym nośniku (format PDF)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– dotyczy także urządzeń peryferyjnych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 urządzeniem wykonawca dostarczy paszporty techniczne zawierający co najmniej takie dane jak: nazwa, typ (model), producent, rok produkcji, numer seryjny (fabryczny), inne istotne informacje (np. części składowe, istotne wyposażenie, oprogramowanie), kody z aktualnie obowiązującego słownika NFZ (o ile występują) osobno dla każdego wyrobu medycznego, w tym: tomografu komputerowego z wyposażeniem (w skład wyposażenia min. konsola operatorska i serwer aplikacyjny –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u w:val="single"/>
                <w:lang w:eastAsia="en-US"/>
              </w:rPr>
              <w:t>w przypadku dostawy nowego serwera aplikacyjnego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), wstrzykiwacz kontrastu, monitor EKG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pStyle w:val="Nagwek1"/>
              <w:tabs>
                <w:tab w:val="num" w:pos="0"/>
              </w:tabs>
              <w:suppressAutoHyphens w:val="0"/>
              <w:spacing w:line="276" w:lineRule="auto"/>
              <w:jc w:val="both"/>
              <w:rPr>
                <w:rFonts w:ascii="Century Gothic" w:hAnsi="Century Gothic" w:cs="Arial"/>
                <w:b w:val="0"/>
                <w:bCs w:val="0"/>
                <w:iCs/>
                <w:sz w:val="20"/>
                <w:szCs w:val="18"/>
              </w:rPr>
            </w:pP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</w:rPr>
              <w:t>Przygotowanie i dostarczenie do siedziby Zamawiającego kompletu dokumentów i testów, których wyko</w:t>
            </w: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</w:rPr>
              <w:softHyphen/>
              <w:t>nanie zgodnie z obowiązującymi przepisami leży po stronie dostawcy, a które są nie</w:t>
            </w: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</w:rPr>
              <w:softHyphen/>
              <w:t xml:space="preserve">zbędne do odbioru pracowni i urządzenia przez uprawnione instytucje – </w:t>
            </w: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  <w:u w:val="single"/>
              </w:rPr>
              <w:t>wymienić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FF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Dokumentacja (lub tzw. lista kontrolna zawierająca wykaz części i czynności) dotycząca okresowych przeglądów technicznych w języku polskim</w:t>
            </w: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, która zostanie zaktualizowana w ostatnim dniu gwarancji.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</w:p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UWAGA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- dokumentacja musi zapewnić co najmniej pełną diagnostykę urządzenia, wykonywanie drobnych napraw, regulacji, kalibracji, oraz przeglądów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lastRenderedPageBreak/>
              <w:t>okresowych w standardzie wymaganym przez producenta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Harmonogram lub częstotliwość wymaganych przez producenta przeglądów lub innej obsługi serwisowej 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Stanowiskową instrukcję BHP (§41. Rozporządzenia Ministra Pracy i Polityki Socjalnej z dnia 26 września 1997 r. w sprawie ogólnych przepisów bezpieczeństwa i higieny pracy Dz.U. 1997 nr 129 poz. 844) z późniejszymi zmianami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Instrukcja konserwacji, mycia, dezynfekcji i sterylizacji dla poszczególnych elementów aparatów.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>TAK, podać i zał.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Możliwość mycia i dezynfekcji poszczególnych elementów aparatów w oparciu o przedsta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wione przez wykonawcę zalecane preparaty myjące i dezynfekujące.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16"/>
                <w:szCs w:val="22"/>
              </w:rPr>
              <w:t>UWAGA</w:t>
            </w:r>
            <w:r w:rsidRPr="007314E4">
              <w:rPr>
                <w:rFonts w:ascii="Century Gothic" w:hAnsi="Century Gothic"/>
                <w:color w:val="000000"/>
                <w:sz w:val="16"/>
                <w:szCs w:val="22"/>
              </w:rPr>
              <w:t xml:space="preserve"> – zalecane środki powinny zawierać nazwy związków chemicznych, a nie tylko na</w:t>
            </w:r>
            <w:r w:rsidRPr="007314E4">
              <w:rPr>
                <w:rFonts w:ascii="Century Gothic" w:hAnsi="Century Gothic"/>
                <w:color w:val="000000"/>
                <w:sz w:val="16"/>
                <w:szCs w:val="22"/>
              </w:rPr>
              <w:softHyphen/>
              <w:t>zwy handlowe preparatów.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snapToGrid w:val="0"/>
              <w:spacing w:line="276" w:lineRule="auto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Cs/>
                <w:sz w:val="20"/>
                <w:szCs w:val="20"/>
              </w:rPr>
              <w:t xml:space="preserve">Projekt osłon radiologicznych, 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napToGrid w:val="0"/>
              <w:spacing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uppressAutoHyphens/>
              <w:spacing w:before="40" w:after="4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b/>
                <w:sz w:val="20"/>
                <w:szCs w:val="20"/>
                <w:lang w:eastAsia="zh-CN"/>
              </w:rPr>
              <w:t>Inne dokumenty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Przedstawienie min. 5 różnych wizualizacji (dla każdego pomieszczenia)  nowotworzonej pracowni Rezonansu magnetycznego  przed rozpoczęciem prac budowlanych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podać i załączyć przed przystąpieniem do realizacji zamówienia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snapToGrid w:val="0"/>
              <w:spacing w:line="276" w:lineRule="auto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Wykonanie testów akceptacyjnych po zainstalowaniu urządzenia– </w:t>
            </w:r>
            <w:r w:rsidRPr="007314E4">
              <w:rPr>
                <w:rFonts w:ascii="Century Gothic" w:hAnsi="Century Gothic" w:cs="Arial Narrow"/>
                <w:bCs/>
                <w:sz w:val="20"/>
                <w:szCs w:val="20"/>
              </w:rPr>
              <w:t>zawarte w cenie oferty, ponadto: testy specjalistyczne, pomiary mocy dawki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napToGrid w:val="0"/>
              <w:spacing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dostarczenie wyników najpóźniej 7 dni od dostawy urządzenia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uppressAutoHyphens/>
              <w:spacing w:before="40" w:after="4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 xml:space="preserve">Szkolenia 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sz w:val="20"/>
                <w:szCs w:val="18"/>
              </w:rPr>
            </w:pPr>
            <w:r w:rsidRPr="007314E4">
              <w:rPr>
                <w:rFonts w:ascii="Century Gothic" w:hAnsi="Century Gothic"/>
                <w:sz w:val="20"/>
                <w:szCs w:val="18"/>
              </w:rPr>
              <w:t>Szkolenia dla personelu  medycznego z zakresu obsługi podstawowej urządzenia (min. 2 osoby dla szkolenia podstawowego oraz min. 10 osób w trakcie uruchamiania pracowni)</w:t>
            </w:r>
          </w:p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sz w:val="20"/>
                <w:szCs w:val="18"/>
              </w:rPr>
              <w:t>Szkolenie aplikacyjne potwierdzone wydaniem imiennego certyfikatu dla każdej osoby uczestniczącej w szkoleniu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Wyjazdowe szkolenie w ośrodku referencyjnym po podpisaniu umowy a przed dostawą aparatu  dla min 4 techników oraz 4 lekarzy min. 5 dni dla każdego w ustalonym przez zamawiającego terminie lub inna adekwatna ilość osobodni.</w:t>
            </w:r>
          </w:p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Po uruchomieniu wyjazdowe szkolenie w ośrodku referencyjnym lub podczas szkolenia/konferencji    dla techników i lekarzy po 5 dni dla 5 lekarzy i pięciu techników lub adekwatna ilość osobodni.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Szkolenia dla personelu technicznego (do 5 osób) z zakresu podstawowej diagnostyki stanu technicznego i wykonywania podstawowych czynności konserwacyjnych, naprawczych i przeglądowych; w razie potrzeby możliwość stałego wsparcia aplikacyjnego w okresie gwarancji urządzeń 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lastRenderedPageBreak/>
              <w:t>(dodatkowe szkolenie, dodatkowa grupa osób, konsultacje, itp.)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lastRenderedPageBreak/>
              <w:t xml:space="preserve">TAK, podać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Liczba i okres szkoleń na miejscu u Zamawiającego w terminie z nim ustalonym 20 dni po 8 godzin dla techników i lekarzy :</w:t>
            </w:r>
          </w:p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- pierwsze szkolenie - tuż po instalacji systemu, w wymiarze do 5 dni roboczych </w:t>
            </w:r>
          </w:p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- dodatkowe, w razie potrzeby, w innym terminie ustalonym  z kierownikiem pracowni,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>Inne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Możliwość uzyskania (potwierdzonych certyfikatem) częściowych uprawnień serwisowych przez personel techniczny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podać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W cenie urządzenia znajduje się komplet ak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cesoriów, okablowania itp. asortymentu nie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zbędnego do uruchomienia i funkcjonowania aparatu jako całości w wymaganej specyfi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kacją konfiguracji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Spełnienie wymogów obowiązującego prawa w tym ustawy o wyrobach medycznych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Transport krajowy i zagraniczny wraz z ubezpie</w:t>
            </w: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czeniem, wszelkie opłaty celne, skar</w:t>
            </w: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bowe oraz inne opłaty pośrednie po stronie wykonawcy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Wykonawca sam przygotuje odpowiednie po</w:t>
            </w: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mieszczenie dla serwerów obsługujących aparaty i stacje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Przed przystąpieniem do realizacji zamówienia, Wykonawca może dokonać wizji lokalnej, sprawdzenia </w:t>
            </w: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lastRenderedPageBreak/>
              <w:t>wymiarów pomieszczeń (wykonanie ewentualnej inwentaryzacji pomieszczeń) celem montażu przedmiotu zamówienia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TAK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</w:tbl>
    <w:p w:rsidR="00DB683C" w:rsidRPr="007314E4" w:rsidRDefault="00DB683C" w:rsidP="000C52D0">
      <w:pPr>
        <w:spacing w:line="276" w:lineRule="auto"/>
        <w:rPr>
          <w:rFonts w:ascii="Century Gothic" w:hAnsi="Century Gothic"/>
          <w:b/>
        </w:rPr>
      </w:pPr>
    </w:p>
    <w:p w:rsidR="00DE08B5" w:rsidRPr="007314E4" w:rsidRDefault="00DE08B5" w:rsidP="00DE08B5">
      <w:pPr>
        <w:spacing w:line="259" w:lineRule="auto"/>
        <w:contextualSpacing/>
        <w:rPr>
          <w:rFonts w:ascii="Century Gothic" w:hAnsi="Century Gothic"/>
          <w:b/>
          <w:color w:val="0000FF"/>
          <w:sz w:val="16"/>
        </w:rPr>
      </w:pPr>
      <w:r w:rsidRPr="007314E4">
        <w:rPr>
          <w:rFonts w:ascii="Century Gothic" w:hAnsi="Century Gothic"/>
          <w:b/>
          <w:color w:val="0000FF"/>
          <w:sz w:val="16"/>
        </w:rPr>
        <w:t>*w przypadku gdy, w którymkolwiek punkcie parametru punktowanego Zamawiający używa słowa „proporcjonalność” na myśli:</w:t>
      </w:r>
    </w:p>
    <w:p w:rsidR="00DE08B5" w:rsidRPr="007314E4" w:rsidRDefault="00DE08B5" w:rsidP="00DE08B5">
      <w:pPr>
        <w:pStyle w:val="Akapitzlist"/>
        <w:numPr>
          <w:ilvl w:val="0"/>
          <w:numId w:val="36"/>
        </w:numPr>
        <w:spacing w:after="0" w:line="259" w:lineRule="auto"/>
        <w:ind w:left="284" w:hanging="284"/>
        <w:rPr>
          <w:rFonts w:ascii="Century Gothic" w:hAnsi="Century Gothic"/>
          <w:b/>
          <w:color w:val="0000FF"/>
          <w:sz w:val="16"/>
          <w:lang w:val="pl-PL" w:eastAsia="pl-PL"/>
        </w:rPr>
      </w:pPr>
      <w:r w:rsidRPr="007314E4">
        <w:rPr>
          <w:rFonts w:ascii="Century Gothic" w:hAnsi="Century Gothic"/>
          <w:b/>
          <w:color w:val="0000FF"/>
          <w:sz w:val="16"/>
          <w:lang w:val="pl-PL" w:eastAsia="pl-PL"/>
        </w:rPr>
        <w:t>Proporcjonalność liczona od wartości maksymalnej:</w:t>
      </w:r>
    </w:p>
    <w:p w:rsidR="00DE08B5" w:rsidRPr="007314E4" w:rsidRDefault="00DE08B5" w:rsidP="00DE08B5">
      <w:pPr>
        <w:pStyle w:val="Akapitzlist"/>
        <w:numPr>
          <w:ilvl w:val="0"/>
          <w:numId w:val="37"/>
        </w:numPr>
        <w:spacing w:after="0"/>
        <w:jc w:val="both"/>
        <w:rPr>
          <w:rFonts w:ascii="Century Gothic" w:hAnsi="Century Gothic" w:cs="Calibri"/>
          <w:color w:val="0000FF"/>
          <w:sz w:val="16"/>
          <w:szCs w:val="22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szCs w:val="22"/>
          <w:lang w:val="pl-PL"/>
        </w:rPr>
        <w:t xml:space="preserve">Wartość wymagana (z) – 0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DE08B5" w:rsidRPr="007314E4" w:rsidRDefault="00DE08B5" w:rsidP="00DE08B5">
      <w:pPr>
        <w:pStyle w:val="Akapitzlist"/>
        <w:spacing w:before="40" w:after="40"/>
        <w:ind w:right="57"/>
        <w:jc w:val="both"/>
        <w:rPr>
          <w:rFonts w:ascii="Century Gothic" w:eastAsiaTheme="minorEastAsia" w:hAnsi="Century Gothic" w:cs="Calibri"/>
          <w:color w:val="0000FF"/>
          <w:sz w:val="16"/>
          <w:lang w:val="pl-PL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  <w:lang w:val="pl-PL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  <w:lang w:val="pl-PL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  <w:lang w:val="pl-PL"/>
            </w:rPr>
            <m:t>∙MAX</m:t>
          </m:r>
        </m:oMath>
      </m:oMathPara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gdzie:</w:t>
      </w:r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x – wartość parametru oferty badanej,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color w:val="0000FF"/>
          <w:sz w:val="16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lang w:val="pl-PL"/>
        </w:rPr>
        <w:t>n – liczba pkt. przyznanych za parametr.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color w:val="0000FF"/>
          <w:sz w:val="16"/>
          <w:lang w:val="pl-PL" w:eastAsia="pl-PL"/>
        </w:rPr>
      </w:pPr>
    </w:p>
    <w:p w:rsidR="00DE08B5" w:rsidRPr="007314E4" w:rsidRDefault="00DE08B5" w:rsidP="00DE08B5">
      <w:pPr>
        <w:pStyle w:val="Akapitzlist"/>
        <w:numPr>
          <w:ilvl w:val="0"/>
          <w:numId w:val="37"/>
        </w:numPr>
        <w:spacing w:after="0"/>
        <w:jc w:val="both"/>
        <w:rPr>
          <w:rFonts w:ascii="Century Gothic" w:hAnsi="Century Gothic" w:cs="Calibri"/>
          <w:color w:val="0000FF"/>
          <w:sz w:val="16"/>
          <w:szCs w:val="22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szCs w:val="22"/>
          <w:lang w:val="pl-PL"/>
        </w:rPr>
        <w:t xml:space="preserve">Wartość wymagana (z) – 0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DE08B5" w:rsidRPr="007314E4" w:rsidRDefault="00DE08B5" w:rsidP="00DE08B5">
      <w:pPr>
        <w:pStyle w:val="Akapitzlist"/>
        <w:spacing w:before="40" w:after="40"/>
        <w:ind w:right="57"/>
        <w:jc w:val="both"/>
        <w:rPr>
          <w:rFonts w:ascii="Century Gothic" w:eastAsiaTheme="minorEastAsia" w:hAnsi="Century Gothic" w:cs="Calibri"/>
          <w:color w:val="0000FF"/>
          <w:sz w:val="16"/>
          <w:lang w:val="pl-PL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  <w:lang w:val="pl-PL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  <w:lang w:val="pl-PL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  <w:lang w:val="pl-PL"/>
            </w:rPr>
            <m:t>∙MAX</m:t>
          </m:r>
        </m:oMath>
      </m:oMathPara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gdzie:</w:t>
      </w:r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x – wartość parametru oferty badanej,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color w:val="0000FF"/>
          <w:sz w:val="16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lang w:val="pl-PL"/>
        </w:rPr>
        <w:t>n – liczba pkt. przyznanych za parametr.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color w:val="0000FF"/>
          <w:sz w:val="16"/>
          <w:lang w:val="pl-PL"/>
        </w:rPr>
      </w:pPr>
    </w:p>
    <w:p w:rsidR="00DE08B5" w:rsidRPr="007314E4" w:rsidRDefault="00DE08B5" w:rsidP="00DE08B5">
      <w:pPr>
        <w:pStyle w:val="Akapitzlist"/>
        <w:numPr>
          <w:ilvl w:val="0"/>
          <w:numId w:val="36"/>
        </w:numPr>
        <w:spacing w:after="0" w:line="259" w:lineRule="auto"/>
        <w:ind w:left="284" w:hanging="284"/>
        <w:rPr>
          <w:rFonts w:ascii="Century Gothic" w:hAnsi="Century Gothic"/>
          <w:b/>
          <w:color w:val="0000FF"/>
          <w:sz w:val="16"/>
          <w:lang w:val="pl-PL" w:eastAsia="pl-PL"/>
        </w:rPr>
      </w:pPr>
      <w:r w:rsidRPr="007314E4">
        <w:rPr>
          <w:rFonts w:ascii="Century Gothic" w:hAnsi="Century Gothic"/>
          <w:b/>
          <w:color w:val="0000FF"/>
          <w:sz w:val="16"/>
          <w:lang w:val="pl-PL" w:eastAsia="pl-PL"/>
        </w:rPr>
        <w:t>Proporcjonalność liczona od wartości największej:</w:t>
      </w:r>
    </w:p>
    <w:p w:rsidR="00DE08B5" w:rsidRPr="007314E4" w:rsidRDefault="00DE08B5" w:rsidP="00DE08B5">
      <w:pPr>
        <w:pStyle w:val="Akapitzlist"/>
        <w:ind w:left="1080"/>
        <w:rPr>
          <w:rFonts w:ascii="Century Gothic" w:hAnsi="Century Gothic"/>
          <w:color w:val="0000FF"/>
          <w:sz w:val="16"/>
          <w:lang w:val="pl-PL" w:eastAsia="pl-PL"/>
        </w:rPr>
      </w:pP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372" w:firstLine="336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największa (z) – 0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DE08B5" w:rsidRPr="007314E4" w:rsidRDefault="00DE08B5" w:rsidP="00DE08B5">
      <w:pPr>
        <w:pStyle w:val="Akapitzlist"/>
        <w:spacing w:before="40" w:after="40"/>
        <w:ind w:left="1080" w:right="57"/>
        <w:jc w:val="both"/>
        <w:rPr>
          <w:rFonts w:ascii="Century Gothic" w:eastAsiaTheme="minorEastAsia" w:hAnsi="Century Gothic" w:cs="Calibri"/>
          <w:color w:val="0000FF"/>
          <w:sz w:val="16"/>
          <w:lang w:val="pl-PL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  <w:lang w:val="pl-PL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  <w:lang w:val="pl-PL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  <w:lang w:val="pl-PL"/>
            </w:rPr>
            <m:t>∙MAX</m:t>
          </m:r>
        </m:oMath>
      </m:oMathPara>
    </w:p>
    <w:p w:rsidR="00DE08B5" w:rsidRPr="007314E4" w:rsidRDefault="00DE08B5" w:rsidP="00DE08B5">
      <w:pPr>
        <w:autoSpaceDE w:val="0"/>
        <w:spacing w:before="40" w:after="40" w:line="276" w:lineRule="auto"/>
        <w:ind w:right="57" w:firstLine="708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7314E4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DE08B5" w:rsidRPr="007314E4" w:rsidRDefault="00DE08B5" w:rsidP="00DE08B5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7314E4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DE08B5" w:rsidRPr="007314E4" w:rsidRDefault="00DE08B5" w:rsidP="00DE08B5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7314E4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DE08B5" w:rsidRPr="007314E4" w:rsidRDefault="00DE08B5" w:rsidP="00DE08B5">
      <w:pPr>
        <w:pStyle w:val="Akapitzlist"/>
        <w:ind w:left="284"/>
        <w:rPr>
          <w:rFonts w:ascii="Century Gothic" w:hAnsi="Century Gothic"/>
          <w:b/>
          <w:color w:val="0000FF"/>
          <w:sz w:val="16"/>
          <w:lang w:val="pl-PL" w:eastAsia="pl-PL"/>
        </w:rPr>
      </w:pPr>
    </w:p>
    <w:p w:rsidR="00DE08B5" w:rsidRPr="007314E4" w:rsidRDefault="00DE08B5" w:rsidP="00DE08B5">
      <w:pPr>
        <w:pStyle w:val="Akapitzlist"/>
        <w:numPr>
          <w:ilvl w:val="0"/>
          <w:numId w:val="36"/>
        </w:numPr>
        <w:spacing w:after="0" w:line="259" w:lineRule="auto"/>
        <w:ind w:left="284" w:hanging="284"/>
        <w:rPr>
          <w:rFonts w:ascii="Century Gothic" w:hAnsi="Century Gothic"/>
          <w:b/>
          <w:color w:val="0000FF"/>
          <w:sz w:val="16"/>
          <w:lang w:val="pl-PL" w:eastAsia="pl-PL"/>
        </w:rPr>
      </w:pPr>
      <w:r w:rsidRPr="007314E4">
        <w:rPr>
          <w:rFonts w:ascii="Century Gothic" w:hAnsi="Century Gothic"/>
          <w:b/>
          <w:color w:val="0000FF"/>
          <w:sz w:val="16"/>
          <w:lang w:val="pl-PL" w:eastAsia="pl-PL"/>
        </w:rPr>
        <w:t>Proporcjonalność liczona od wartości najmniejszej: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b/>
          <w:color w:val="0000FF"/>
          <w:sz w:val="16"/>
          <w:lang w:val="pl-PL" w:eastAsia="pl-PL"/>
        </w:rPr>
      </w:pP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najmniejsza (z) – 0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DE08B5" w:rsidRPr="007314E4" w:rsidRDefault="00DE08B5" w:rsidP="00DE08B5">
      <w:pPr>
        <w:pStyle w:val="Akapitzlist"/>
        <w:spacing w:before="40" w:after="40"/>
        <w:ind w:right="57"/>
        <w:jc w:val="both"/>
        <w:rPr>
          <w:rFonts w:ascii="Century Gothic" w:eastAsiaTheme="minorEastAsia" w:hAnsi="Century Gothic" w:cs="Calibri"/>
          <w:color w:val="0000FF"/>
          <w:sz w:val="16"/>
          <w:lang w:val="pl-PL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  <w:lang w:val="pl-PL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  <w:lang w:val="pl-PL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  <w:lang w:val="pl-PL"/>
            </w:rPr>
            <m:t>∙MAX</m:t>
          </m:r>
        </m:oMath>
      </m:oMathPara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gdzie:</w:t>
      </w:r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x – wartość parametru oferty badanej,</w:t>
      </w:r>
    </w:p>
    <w:p w:rsidR="00DE08B5" w:rsidRPr="007314E4" w:rsidRDefault="00DE08B5" w:rsidP="00DE08B5">
      <w:pPr>
        <w:pStyle w:val="Akapitzlist"/>
        <w:rPr>
          <w:rFonts w:ascii="Calibri" w:hAnsi="Calibri" w:cs="Calibri"/>
          <w:color w:val="0000FF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lang w:val="pl-PL"/>
        </w:rPr>
        <w:t>n – liczba pkt. przyznanych za parametr.</w:t>
      </w:r>
    </w:p>
    <w:p w:rsidR="009A6891" w:rsidRPr="007314E4" w:rsidRDefault="009A6891" w:rsidP="009A6891">
      <w:pPr>
        <w:spacing w:before="40" w:after="40" w:line="276" w:lineRule="auto"/>
        <w:rPr>
          <w:rFonts w:ascii="Century Gothic" w:hAnsi="Century Gothic"/>
          <w:b/>
          <w:sz w:val="18"/>
          <w:szCs w:val="20"/>
          <w:lang w:eastAsia="zh-CN"/>
        </w:rPr>
      </w:pPr>
      <w:r w:rsidRPr="007314E4">
        <w:rPr>
          <w:rFonts w:ascii="Century Gothic" w:hAnsi="Century Gothic"/>
          <w:b/>
          <w:sz w:val="18"/>
          <w:szCs w:val="20"/>
          <w:lang w:eastAsia="zh-CN"/>
        </w:rPr>
        <w:t>Oświadczenie Wykonawcy:</w:t>
      </w:r>
    </w:p>
    <w:p w:rsidR="009A6891" w:rsidRPr="007314E4" w:rsidRDefault="009A6891" w:rsidP="009A6891">
      <w:pPr>
        <w:numPr>
          <w:ilvl w:val="0"/>
          <w:numId w:val="23"/>
        </w:numPr>
        <w:spacing w:before="40" w:after="40" w:line="276" w:lineRule="auto"/>
        <w:ind w:left="284" w:hanging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  <w:r w:rsidRPr="007314E4">
        <w:rPr>
          <w:rFonts w:ascii="Century Gothic" w:hAnsi="Century Gothic"/>
          <w:sz w:val="18"/>
          <w:szCs w:val="20"/>
          <w:lang w:eastAsia="zh-CN"/>
        </w:rPr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9A6891" w:rsidRPr="007314E4" w:rsidRDefault="009A6891" w:rsidP="009A6891">
      <w:pPr>
        <w:numPr>
          <w:ilvl w:val="0"/>
          <w:numId w:val="23"/>
        </w:numPr>
        <w:spacing w:before="40" w:after="40" w:line="276" w:lineRule="auto"/>
        <w:ind w:left="284" w:hanging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  <w:r w:rsidRPr="007314E4">
        <w:rPr>
          <w:rFonts w:ascii="Century Gothic" w:hAnsi="Century Gothic"/>
          <w:sz w:val="18"/>
          <w:szCs w:val="20"/>
          <w:lang w:eastAsia="zh-CN"/>
        </w:rPr>
        <w:t>Oświadczamy, że oferowany i powyżej wyspecyfikowany sprzęt jest kompletny i będzie po zainstalowaniu gotowy do pracy bez żadnych dodatkowych zakupów i inwestycji.</w:t>
      </w:r>
    </w:p>
    <w:p w:rsidR="009A6891" w:rsidRPr="007314E4" w:rsidRDefault="009A6891" w:rsidP="009A6891">
      <w:pPr>
        <w:numPr>
          <w:ilvl w:val="0"/>
          <w:numId w:val="23"/>
        </w:numPr>
        <w:spacing w:before="40" w:after="40" w:line="276" w:lineRule="auto"/>
        <w:ind w:left="284" w:hanging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  <w:r w:rsidRPr="007314E4">
        <w:rPr>
          <w:rFonts w:ascii="Century Gothic" w:hAnsi="Century Gothic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p w:rsidR="009A6891" w:rsidRPr="007314E4" w:rsidRDefault="009A6891" w:rsidP="009A6891">
      <w:pPr>
        <w:spacing w:before="40" w:after="40" w:line="276" w:lineRule="auto"/>
        <w:ind w:left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</w:p>
    <w:p w:rsidR="009A6891" w:rsidRPr="007314E4" w:rsidRDefault="009A6891" w:rsidP="009A6891">
      <w:pPr>
        <w:spacing w:before="40" w:after="40" w:line="276" w:lineRule="auto"/>
        <w:ind w:left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</w:p>
    <w:tbl>
      <w:tblPr>
        <w:tblW w:w="13970" w:type="dxa"/>
        <w:tblInd w:w="284" w:type="dxa"/>
        <w:tblLook w:val="04A0" w:firstRow="1" w:lastRow="0" w:firstColumn="1" w:lastColumn="0" w:noHBand="0" w:noVBand="1"/>
      </w:tblPr>
      <w:tblGrid>
        <w:gridCol w:w="6940"/>
        <w:gridCol w:w="7030"/>
      </w:tblGrid>
      <w:tr w:rsidR="009A6891" w:rsidRPr="007314E4" w:rsidTr="00C85FE4">
        <w:trPr>
          <w:trHeight w:val="1005"/>
        </w:trPr>
        <w:tc>
          <w:tcPr>
            <w:tcW w:w="6940" w:type="dxa"/>
            <w:shd w:val="clear" w:color="auto" w:fill="auto"/>
          </w:tcPr>
          <w:p w:rsidR="009A6891" w:rsidRPr="007314E4" w:rsidRDefault="009A6891" w:rsidP="00C85FE4">
            <w:pPr>
              <w:spacing w:before="40" w:after="40" w:line="276" w:lineRule="auto"/>
              <w:contextualSpacing/>
              <w:jc w:val="both"/>
              <w:rPr>
                <w:rFonts w:ascii="Century Gothic" w:hAnsi="Century Gothic"/>
                <w:sz w:val="16"/>
                <w:szCs w:val="20"/>
                <w:lang w:eastAsia="zh-CN"/>
              </w:rPr>
            </w:pP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jc w:val="both"/>
              <w:rPr>
                <w:rFonts w:ascii="Century Gothic" w:hAnsi="Century Gothic"/>
                <w:sz w:val="16"/>
                <w:szCs w:val="20"/>
                <w:lang w:eastAsia="zh-CN"/>
              </w:rPr>
            </w:pP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jc w:val="both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9A6891" w:rsidRPr="007314E4" w:rsidRDefault="009A6891" w:rsidP="00C85FE4">
            <w:pPr>
              <w:spacing w:before="40" w:after="40" w:line="276" w:lineRule="auto"/>
              <w:ind w:left="567"/>
              <w:contextualSpacing/>
              <w:jc w:val="both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  <w:shd w:val="clear" w:color="auto" w:fill="auto"/>
          </w:tcPr>
          <w:p w:rsidR="009A6891" w:rsidRPr="007314E4" w:rsidRDefault="009A6891" w:rsidP="00C85FE4">
            <w:pPr>
              <w:spacing w:before="40" w:after="40" w:line="276" w:lineRule="auto"/>
              <w:contextualSpacing/>
              <w:jc w:val="center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b/>
                <w:sz w:val="16"/>
                <w:szCs w:val="20"/>
                <w:lang w:eastAsia="zh-CN"/>
              </w:rPr>
              <w:t>Potwierdzam oferowane jw. parametry</w:t>
            </w: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:</w:t>
            </w: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rPr>
                <w:rFonts w:ascii="Century Gothic" w:hAnsi="Century Gothic"/>
                <w:sz w:val="16"/>
                <w:szCs w:val="20"/>
                <w:lang w:eastAsia="zh-CN"/>
              </w:rPr>
            </w:pP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jc w:val="center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9A6891" w:rsidRPr="007314E4" w:rsidRDefault="009A6891" w:rsidP="00C85FE4">
            <w:pPr>
              <w:spacing w:before="40" w:after="40" w:line="276" w:lineRule="auto"/>
              <w:ind w:left="720"/>
              <w:contextualSpacing/>
              <w:jc w:val="center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Uprawniony przedstawiciel wykonawcy–</w:t>
            </w: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jc w:val="center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9A6891" w:rsidRPr="007314E4" w:rsidRDefault="009A6891" w:rsidP="000C52D0">
      <w:pPr>
        <w:spacing w:line="276" w:lineRule="auto"/>
        <w:rPr>
          <w:rFonts w:ascii="Century Gothic" w:hAnsi="Century Gothic"/>
          <w:b/>
        </w:rPr>
      </w:pPr>
    </w:p>
    <w:sectPr w:rsidR="009A6891" w:rsidRPr="007314E4" w:rsidSect="00B97E25">
      <w:headerReference w:type="default" r:id="rId8"/>
      <w:footerReference w:type="default" r:id="rId9"/>
      <w:pgSz w:w="16838" w:h="11906" w:orient="landscape" w:code="9"/>
      <w:pgMar w:top="851" w:right="1417" w:bottom="709" w:left="1417" w:header="17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832" w:rsidRDefault="00B23832" w:rsidP="008403F8">
      <w:r>
        <w:separator/>
      </w:r>
    </w:p>
  </w:endnote>
  <w:endnote w:type="continuationSeparator" w:id="0">
    <w:p w:rsidR="00B23832" w:rsidRDefault="00B23832" w:rsidP="00840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EE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1293900"/>
      <w:docPartObj>
        <w:docPartGallery w:val="Page Numbers (Bottom of Page)"/>
        <w:docPartUnique/>
      </w:docPartObj>
    </w:sdtPr>
    <w:sdtEndPr>
      <w:rPr>
        <w:rFonts w:ascii="Century Gothic" w:hAnsi="Century Gothic"/>
        <w:sz w:val="18"/>
        <w:szCs w:val="18"/>
      </w:rPr>
    </w:sdtEndPr>
    <w:sdtContent>
      <w:sdt>
        <w:sdtPr>
          <w:rPr>
            <w:rFonts w:ascii="Century Gothic" w:hAnsi="Century Gothic"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36D44" w:rsidRPr="00A82796" w:rsidRDefault="00A82796" w:rsidP="00A82796">
            <w:pPr>
              <w:jc w:val="center"/>
              <w:rPr>
                <w:sz w:val="20"/>
              </w:rPr>
            </w:pPr>
            <w:r w:rsidRPr="00E20C05">
              <w:rPr>
                <w:sz w:val="20"/>
              </w:rPr>
              <w:t>Nazwa projektu „Poprawa bezpieczeństwa epidemiologicznego na terenie województwa podkarpackiego w związku z pojawieniem się koronawirusa SARS-CoV-2” finansowane</w:t>
            </w:r>
            <w:r>
              <w:rPr>
                <w:sz w:val="20"/>
              </w:rPr>
              <w:t>go ze środków RPO WP 2014-2020.</w:t>
            </w:r>
          </w:p>
          <w:p w:rsidR="00B97E25" w:rsidRDefault="00B97E25" w:rsidP="00B97E25">
            <w:pPr>
              <w:pStyle w:val="Stopka"/>
              <w:framePr w:wrap="around" w:vAnchor="text" w:hAnchor="page" w:x="1222" w:y="-487"/>
              <w:jc w:val="center"/>
              <w:rPr>
                <w:rStyle w:val="Numerstrony"/>
              </w:rPr>
            </w:pPr>
          </w:p>
          <w:p w:rsidR="00736D44" w:rsidRPr="00F836D9" w:rsidRDefault="00736D44">
            <w:pPr>
              <w:pStyle w:val="Stopka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836D9">
              <w:rPr>
                <w:rFonts w:ascii="Century Gothic" w:hAnsi="Century Gothic"/>
                <w:sz w:val="18"/>
                <w:szCs w:val="18"/>
              </w:rPr>
              <w:t xml:space="preserve">Strona </w: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instrText>PAGE</w:instrTex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="00A82796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1</w: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  <w:r w:rsidRPr="00F836D9">
              <w:rPr>
                <w:rFonts w:ascii="Century Gothic" w:hAnsi="Century Gothic"/>
                <w:sz w:val="18"/>
                <w:szCs w:val="18"/>
              </w:rPr>
              <w:t xml:space="preserve"> z </w: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instrText>NUMPAGES</w:instrTex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="00A82796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42</w: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736D44" w:rsidRDefault="00736D44" w:rsidP="0030642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832" w:rsidRDefault="00B23832" w:rsidP="008403F8">
      <w:r>
        <w:separator/>
      </w:r>
    </w:p>
  </w:footnote>
  <w:footnote w:type="continuationSeparator" w:id="0">
    <w:p w:rsidR="00B23832" w:rsidRDefault="00B23832" w:rsidP="00840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44" w:rsidRDefault="00736D44" w:rsidP="008403F8">
    <w:pPr>
      <w:pStyle w:val="Nagwek"/>
      <w:jc w:val="right"/>
      <w:rPr>
        <w:rFonts w:ascii="Century Gothic" w:hAnsi="Century Gothic"/>
        <w:sz w:val="20"/>
        <w:szCs w:val="20"/>
      </w:rPr>
    </w:pPr>
    <w:r w:rsidRPr="008403F8">
      <w:rPr>
        <w:rFonts w:ascii="Century Gothic" w:hAnsi="Century Gothic"/>
        <w:sz w:val="20"/>
        <w:szCs w:val="20"/>
      </w:rPr>
      <w:t>Załącznik nr 2</w:t>
    </w:r>
    <w:r>
      <w:rPr>
        <w:rFonts w:ascii="Century Gothic" w:hAnsi="Century Gothic"/>
        <w:sz w:val="20"/>
        <w:szCs w:val="20"/>
      </w:rPr>
      <w:t>a</w:t>
    </w:r>
  </w:p>
  <w:p w:rsidR="00A82796" w:rsidRDefault="00A82796" w:rsidP="00A82796">
    <w:pPr>
      <w:pStyle w:val="Nagwek"/>
      <w:jc w:val="center"/>
      <w:rPr>
        <w:rFonts w:ascii="Century Gothic" w:hAnsi="Century Gothic"/>
        <w:sz w:val="20"/>
        <w:szCs w:val="20"/>
      </w:rPr>
    </w:pPr>
    <w:r w:rsidRPr="00AA55E8">
      <w:rPr>
        <w:noProof/>
      </w:rPr>
      <w:drawing>
        <wp:inline distT="0" distB="0" distL="0" distR="0" wp14:anchorId="11465A60" wp14:editId="5305DB15">
          <wp:extent cx="5966460" cy="7924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646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7E25" w:rsidRPr="008403F8" w:rsidRDefault="00B97E25" w:rsidP="00B97E25">
    <w:pPr>
      <w:pStyle w:val="Nagwek"/>
      <w:jc w:val="center"/>
      <w:rPr>
        <w:rFonts w:ascii="Century Gothic" w:hAnsi="Century Gothic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</w:abstractNum>
  <w:abstractNum w:abstractNumId="2" w15:restartNumberingAfterBreak="0">
    <w:nsid w:val="01821287"/>
    <w:multiLevelType w:val="multilevel"/>
    <w:tmpl w:val="0DF85E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8F6EC7"/>
    <w:multiLevelType w:val="hybridMultilevel"/>
    <w:tmpl w:val="9B0CB9CE"/>
    <w:lvl w:ilvl="0" w:tplc="04B8698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CF0759"/>
    <w:multiLevelType w:val="hybridMultilevel"/>
    <w:tmpl w:val="3C0E30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9177AD"/>
    <w:multiLevelType w:val="hybridMultilevel"/>
    <w:tmpl w:val="5CC8FA32"/>
    <w:lvl w:ilvl="0" w:tplc="DE5E7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0A645D"/>
    <w:multiLevelType w:val="multilevel"/>
    <w:tmpl w:val="0F7C8D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013FC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2A904DA"/>
    <w:multiLevelType w:val="multilevel"/>
    <w:tmpl w:val="80440F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3A729A0"/>
    <w:multiLevelType w:val="hybridMultilevel"/>
    <w:tmpl w:val="132E1B86"/>
    <w:lvl w:ilvl="0" w:tplc="597C5440">
      <w:start w:val="1"/>
      <w:numFmt w:val="lowerLetter"/>
      <w:lvlText w:val="%1)"/>
      <w:lvlJc w:val="left"/>
      <w:pPr>
        <w:ind w:left="1440" w:hanging="360"/>
      </w:pPr>
      <w:rPr>
        <w:rFonts w:ascii="Century Gothic" w:hAnsi="Century Gothic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5E23CF6"/>
    <w:multiLevelType w:val="hybridMultilevel"/>
    <w:tmpl w:val="E084E7D6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86224C"/>
    <w:multiLevelType w:val="multilevel"/>
    <w:tmpl w:val="EE18BC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9F205E3"/>
    <w:multiLevelType w:val="hybridMultilevel"/>
    <w:tmpl w:val="838403E0"/>
    <w:lvl w:ilvl="0" w:tplc="09D2F91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92660"/>
    <w:multiLevelType w:val="hybridMultilevel"/>
    <w:tmpl w:val="4FBC6F62"/>
    <w:lvl w:ilvl="0" w:tplc="D518A2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E22ED"/>
    <w:multiLevelType w:val="hybridMultilevel"/>
    <w:tmpl w:val="755A9D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91643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DFF5B28"/>
    <w:multiLevelType w:val="multilevel"/>
    <w:tmpl w:val="C30C31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E551E7D"/>
    <w:multiLevelType w:val="multilevel"/>
    <w:tmpl w:val="BA86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 w15:restartNumberingAfterBreak="0">
    <w:nsid w:val="2E6B7FBA"/>
    <w:multiLevelType w:val="multilevel"/>
    <w:tmpl w:val="CAE0AB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28D0CDC"/>
    <w:multiLevelType w:val="singleLevel"/>
    <w:tmpl w:val="D25CCE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D8960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BFA7DBE"/>
    <w:multiLevelType w:val="multilevel"/>
    <w:tmpl w:val="5896D704"/>
    <w:lvl w:ilvl="0">
      <w:start w:val="1"/>
      <w:numFmt w:val="bullet"/>
      <w:lvlText w:val=""/>
      <w:lvlJc w:val="left"/>
      <w:pPr>
        <w:tabs>
          <w:tab w:val="num" w:pos="683"/>
        </w:tabs>
        <w:ind w:left="683" w:hanging="683"/>
      </w:pPr>
      <w:rPr>
        <w:rFonts w:ascii="Wingdings" w:hAnsi="Wingdings" w:cs="Wingdings" w:hint="default"/>
        <w:b w:val="0"/>
        <w:i w:val="0"/>
        <w:color w:val="auto"/>
        <w:sz w:val="18"/>
      </w:r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5EB543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6956B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7867A11"/>
    <w:multiLevelType w:val="hybridMultilevel"/>
    <w:tmpl w:val="837470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4D08CE"/>
    <w:multiLevelType w:val="multilevel"/>
    <w:tmpl w:val="D1EE33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B38499C"/>
    <w:multiLevelType w:val="hybridMultilevel"/>
    <w:tmpl w:val="2F8EE9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A0661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8D7564"/>
    <w:multiLevelType w:val="multilevel"/>
    <w:tmpl w:val="B0E25F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8464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E1913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62F2A46"/>
    <w:multiLevelType w:val="hybridMultilevel"/>
    <w:tmpl w:val="EFA05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4232E2"/>
    <w:multiLevelType w:val="hybridMultilevel"/>
    <w:tmpl w:val="47D66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617495"/>
    <w:multiLevelType w:val="hybridMultilevel"/>
    <w:tmpl w:val="755A9D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9"/>
  </w:num>
  <w:num w:numId="4">
    <w:abstractNumId w:val="1"/>
    <w:lvlOverride w:ilvl="0">
      <w:startOverride w:val="1"/>
    </w:lvlOverride>
  </w:num>
  <w:num w:numId="5">
    <w:abstractNumId w:val="11"/>
  </w:num>
  <w:num w:numId="6">
    <w:abstractNumId w:val="18"/>
  </w:num>
  <w:num w:numId="7">
    <w:abstractNumId w:val="25"/>
  </w:num>
  <w:num w:numId="8">
    <w:abstractNumId w:val="8"/>
  </w:num>
  <w:num w:numId="9">
    <w:abstractNumId w:val="6"/>
  </w:num>
  <w:num w:numId="10">
    <w:abstractNumId w:val="2"/>
  </w:num>
  <w:num w:numId="11">
    <w:abstractNumId w:val="29"/>
  </w:num>
  <w:num w:numId="12">
    <w:abstractNumId w:val="16"/>
  </w:num>
  <w:num w:numId="13">
    <w:abstractNumId w:val="7"/>
  </w:num>
  <w:num w:numId="14">
    <w:abstractNumId w:val="32"/>
  </w:num>
  <w:num w:numId="15">
    <w:abstractNumId w:val="10"/>
  </w:num>
  <w:num w:numId="16">
    <w:abstractNumId w:val="12"/>
  </w:num>
  <w:num w:numId="17">
    <w:abstractNumId w:val="3"/>
  </w:num>
  <w:num w:numId="18">
    <w:abstractNumId w:val="4"/>
  </w:num>
  <w:num w:numId="19">
    <w:abstractNumId w:val="33"/>
  </w:num>
  <w:num w:numId="20">
    <w:abstractNumId w:val="9"/>
  </w:num>
  <w:num w:numId="21">
    <w:abstractNumId w:val="24"/>
  </w:num>
  <w:num w:numId="22">
    <w:abstractNumId w:val="5"/>
  </w:num>
  <w:num w:numId="23">
    <w:abstractNumId w:val="28"/>
  </w:num>
  <w:num w:numId="24">
    <w:abstractNumId w:val="27"/>
  </w:num>
  <w:num w:numId="25">
    <w:abstractNumId w:val="20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21"/>
  </w:num>
  <w:num w:numId="29">
    <w:abstractNumId w:val="23"/>
  </w:num>
  <w:num w:numId="30">
    <w:abstractNumId w:val="22"/>
  </w:num>
  <w:num w:numId="31">
    <w:abstractNumId w:val="14"/>
  </w:num>
  <w:num w:numId="32">
    <w:abstractNumId w:val="15"/>
  </w:num>
  <w:num w:numId="33">
    <w:abstractNumId w:val="30"/>
  </w:num>
  <w:num w:numId="34">
    <w:abstractNumId w:val="31"/>
  </w:num>
  <w:num w:numId="35">
    <w:abstractNumId w:val="34"/>
  </w:num>
  <w:num w:numId="36">
    <w:abstractNumId w:val="13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307D"/>
    <w:rsid w:val="00003A45"/>
    <w:rsid w:val="00006615"/>
    <w:rsid w:val="0001468E"/>
    <w:rsid w:val="0002626D"/>
    <w:rsid w:val="00045044"/>
    <w:rsid w:val="00087273"/>
    <w:rsid w:val="00096B7F"/>
    <w:rsid w:val="000A5480"/>
    <w:rsid w:val="000A7954"/>
    <w:rsid w:val="000B134C"/>
    <w:rsid w:val="000C52D0"/>
    <w:rsid w:val="000C7188"/>
    <w:rsid w:val="000D307D"/>
    <w:rsid w:val="000E0227"/>
    <w:rsid w:val="000F414F"/>
    <w:rsid w:val="000F5BD4"/>
    <w:rsid w:val="00120DF8"/>
    <w:rsid w:val="001432E0"/>
    <w:rsid w:val="00143EEF"/>
    <w:rsid w:val="00144B28"/>
    <w:rsid w:val="00173761"/>
    <w:rsid w:val="0018205D"/>
    <w:rsid w:val="001B19A4"/>
    <w:rsid w:val="001C60B0"/>
    <w:rsid w:val="001D2B44"/>
    <w:rsid w:val="002001B1"/>
    <w:rsid w:val="00211244"/>
    <w:rsid w:val="00211359"/>
    <w:rsid w:val="00220915"/>
    <w:rsid w:val="0023482C"/>
    <w:rsid w:val="0023621F"/>
    <w:rsid w:val="00252A34"/>
    <w:rsid w:val="00275979"/>
    <w:rsid w:val="002816EA"/>
    <w:rsid w:val="002D4942"/>
    <w:rsid w:val="002E1044"/>
    <w:rsid w:val="002E3B14"/>
    <w:rsid w:val="002E7F36"/>
    <w:rsid w:val="002F5083"/>
    <w:rsid w:val="0030642C"/>
    <w:rsid w:val="0032717F"/>
    <w:rsid w:val="00331596"/>
    <w:rsid w:val="0034438D"/>
    <w:rsid w:val="00353E10"/>
    <w:rsid w:val="00361F76"/>
    <w:rsid w:val="0036270A"/>
    <w:rsid w:val="003659FB"/>
    <w:rsid w:val="00365D2E"/>
    <w:rsid w:val="00370FAA"/>
    <w:rsid w:val="00371EE2"/>
    <w:rsid w:val="00382839"/>
    <w:rsid w:val="003937A9"/>
    <w:rsid w:val="00396BBC"/>
    <w:rsid w:val="003A2031"/>
    <w:rsid w:val="003B0378"/>
    <w:rsid w:val="003B6D5B"/>
    <w:rsid w:val="003B7EA2"/>
    <w:rsid w:val="003D0469"/>
    <w:rsid w:val="003E4393"/>
    <w:rsid w:val="003E4A3D"/>
    <w:rsid w:val="003E600D"/>
    <w:rsid w:val="00413554"/>
    <w:rsid w:val="004141D1"/>
    <w:rsid w:val="004426B9"/>
    <w:rsid w:val="00460792"/>
    <w:rsid w:val="0046539C"/>
    <w:rsid w:val="00476D12"/>
    <w:rsid w:val="00483F3F"/>
    <w:rsid w:val="004A4521"/>
    <w:rsid w:val="004A4E56"/>
    <w:rsid w:val="004E0C1B"/>
    <w:rsid w:val="004E1991"/>
    <w:rsid w:val="00501DA0"/>
    <w:rsid w:val="00521388"/>
    <w:rsid w:val="00521765"/>
    <w:rsid w:val="00532084"/>
    <w:rsid w:val="0053221E"/>
    <w:rsid w:val="00535E58"/>
    <w:rsid w:val="005419E5"/>
    <w:rsid w:val="00542F8E"/>
    <w:rsid w:val="005568DB"/>
    <w:rsid w:val="0057515C"/>
    <w:rsid w:val="00576817"/>
    <w:rsid w:val="005948D3"/>
    <w:rsid w:val="005966E3"/>
    <w:rsid w:val="005A7CD8"/>
    <w:rsid w:val="005B20FA"/>
    <w:rsid w:val="005B4021"/>
    <w:rsid w:val="005B7CA6"/>
    <w:rsid w:val="005F62A2"/>
    <w:rsid w:val="006261A9"/>
    <w:rsid w:val="006472AF"/>
    <w:rsid w:val="0065269D"/>
    <w:rsid w:val="00655D63"/>
    <w:rsid w:val="006600D3"/>
    <w:rsid w:val="00665143"/>
    <w:rsid w:val="00670CC8"/>
    <w:rsid w:val="00673D6D"/>
    <w:rsid w:val="006854A2"/>
    <w:rsid w:val="006C27DF"/>
    <w:rsid w:val="006C3E8D"/>
    <w:rsid w:val="006E10CD"/>
    <w:rsid w:val="006F022C"/>
    <w:rsid w:val="006F13AE"/>
    <w:rsid w:val="006F2A00"/>
    <w:rsid w:val="00724AF0"/>
    <w:rsid w:val="007314E4"/>
    <w:rsid w:val="00736D44"/>
    <w:rsid w:val="0074035A"/>
    <w:rsid w:val="00752B5F"/>
    <w:rsid w:val="00753652"/>
    <w:rsid w:val="007561E0"/>
    <w:rsid w:val="00761DE1"/>
    <w:rsid w:val="00761FC5"/>
    <w:rsid w:val="00765576"/>
    <w:rsid w:val="007658C9"/>
    <w:rsid w:val="00766DB4"/>
    <w:rsid w:val="00776304"/>
    <w:rsid w:val="00785D97"/>
    <w:rsid w:val="00795421"/>
    <w:rsid w:val="00797F77"/>
    <w:rsid w:val="007B58DB"/>
    <w:rsid w:val="007C080E"/>
    <w:rsid w:val="007D0ADF"/>
    <w:rsid w:val="007E17D9"/>
    <w:rsid w:val="0080041C"/>
    <w:rsid w:val="00802463"/>
    <w:rsid w:val="00803A14"/>
    <w:rsid w:val="008403F8"/>
    <w:rsid w:val="00846861"/>
    <w:rsid w:val="00853BC9"/>
    <w:rsid w:val="008575B3"/>
    <w:rsid w:val="00864339"/>
    <w:rsid w:val="00867694"/>
    <w:rsid w:val="008741A6"/>
    <w:rsid w:val="008846A8"/>
    <w:rsid w:val="008A320E"/>
    <w:rsid w:val="008A39BA"/>
    <w:rsid w:val="008A424A"/>
    <w:rsid w:val="008B45E3"/>
    <w:rsid w:val="008B5CF3"/>
    <w:rsid w:val="008C448C"/>
    <w:rsid w:val="008D257D"/>
    <w:rsid w:val="008F032D"/>
    <w:rsid w:val="008F1589"/>
    <w:rsid w:val="008F647E"/>
    <w:rsid w:val="00905D9E"/>
    <w:rsid w:val="00922422"/>
    <w:rsid w:val="0092688D"/>
    <w:rsid w:val="00936E85"/>
    <w:rsid w:val="00937B1A"/>
    <w:rsid w:val="00945384"/>
    <w:rsid w:val="0094691D"/>
    <w:rsid w:val="009637CC"/>
    <w:rsid w:val="00973DAC"/>
    <w:rsid w:val="00987587"/>
    <w:rsid w:val="009A42C0"/>
    <w:rsid w:val="009A45A1"/>
    <w:rsid w:val="009A6891"/>
    <w:rsid w:val="009A6EC1"/>
    <w:rsid w:val="009B52A2"/>
    <w:rsid w:val="009B7699"/>
    <w:rsid w:val="009D2C10"/>
    <w:rsid w:val="009D72F0"/>
    <w:rsid w:val="009F02B4"/>
    <w:rsid w:val="00A00727"/>
    <w:rsid w:val="00A0389D"/>
    <w:rsid w:val="00A0426A"/>
    <w:rsid w:val="00A23EF1"/>
    <w:rsid w:val="00A3025C"/>
    <w:rsid w:val="00A317F0"/>
    <w:rsid w:val="00A41CD9"/>
    <w:rsid w:val="00A46751"/>
    <w:rsid w:val="00A54379"/>
    <w:rsid w:val="00A64BE3"/>
    <w:rsid w:val="00A65C6E"/>
    <w:rsid w:val="00A71FF8"/>
    <w:rsid w:val="00A74849"/>
    <w:rsid w:val="00A82796"/>
    <w:rsid w:val="00A91058"/>
    <w:rsid w:val="00A93B2F"/>
    <w:rsid w:val="00AA1B19"/>
    <w:rsid w:val="00AB384B"/>
    <w:rsid w:val="00AC4685"/>
    <w:rsid w:val="00AD436C"/>
    <w:rsid w:val="00AE5B39"/>
    <w:rsid w:val="00B02008"/>
    <w:rsid w:val="00B02E58"/>
    <w:rsid w:val="00B03554"/>
    <w:rsid w:val="00B15299"/>
    <w:rsid w:val="00B21E97"/>
    <w:rsid w:val="00B23832"/>
    <w:rsid w:val="00B26F9C"/>
    <w:rsid w:val="00B6701E"/>
    <w:rsid w:val="00B734F2"/>
    <w:rsid w:val="00B73C0E"/>
    <w:rsid w:val="00B77597"/>
    <w:rsid w:val="00B8407C"/>
    <w:rsid w:val="00B97E25"/>
    <w:rsid w:val="00BA6311"/>
    <w:rsid w:val="00BA6D49"/>
    <w:rsid w:val="00BB02E9"/>
    <w:rsid w:val="00BD1E93"/>
    <w:rsid w:val="00BD238E"/>
    <w:rsid w:val="00BD6260"/>
    <w:rsid w:val="00BF3E92"/>
    <w:rsid w:val="00C24143"/>
    <w:rsid w:val="00C3704D"/>
    <w:rsid w:val="00C4497F"/>
    <w:rsid w:val="00C50832"/>
    <w:rsid w:val="00C5324D"/>
    <w:rsid w:val="00C55D06"/>
    <w:rsid w:val="00C85FE4"/>
    <w:rsid w:val="00C94CC9"/>
    <w:rsid w:val="00CA38F4"/>
    <w:rsid w:val="00CB00ED"/>
    <w:rsid w:val="00CB379E"/>
    <w:rsid w:val="00CC47B4"/>
    <w:rsid w:val="00CE0D07"/>
    <w:rsid w:val="00CE3219"/>
    <w:rsid w:val="00CF5B32"/>
    <w:rsid w:val="00CF74E8"/>
    <w:rsid w:val="00D105CD"/>
    <w:rsid w:val="00D142A4"/>
    <w:rsid w:val="00D153C5"/>
    <w:rsid w:val="00D170BA"/>
    <w:rsid w:val="00D222CF"/>
    <w:rsid w:val="00D22389"/>
    <w:rsid w:val="00D338F3"/>
    <w:rsid w:val="00D40C68"/>
    <w:rsid w:val="00D5399F"/>
    <w:rsid w:val="00D63AD2"/>
    <w:rsid w:val="00D71F60"/>
    <w:rsid w:val="00D80593"/>
    <w:rsid w:val="00D92F5E"/>
    <w:rsid w:val="00DA16D3"/>
    <w:rsid w:val="00DA3644"/>
    <w:rsid w:val="00DA5923"/>
    <w:rsid w:val="00DA7591"/>
    <w:rsid w:val="00DB6786"/>
    <w:rsid w:val="00DB683C"/>
    <w:rsid w:val="00DC0285"/>
    <w:rsid w:val="00DC1F31"/>
    <w:rsid w:val="00DC3C3B"/>
    <w:rsid w:val="00DC535C"/>
    <w:rsid w:val="00DE08B5"/>
    <w:rsid w:val="00DF4F92"/>
    <w:rsid w:val="00E27CA7"/>
    <w:rsid w:val="00E27F96"/>
    <w:rsid w:val="00E353E6"/>
    <w:rsid w:val="00E427BA"/>
    <w:rsid w:val="00E43A34"/>
    <w:rsid w:val="00E60E7A"/>
    <w:rsid w:val="00E622F6"/>
    <w:rsid w:val="00E7395D"/>
    <w:rsid w:val="00E86C51"/>
    <w:rsid w:val="00E91E40"/>
    <w:rsid w:val="00E95F41"/>
    <w:rsid w:val="00EA31AD"/>
    <w:rsid w:val="00EB0BCD"/>
    <w:rsid w:val="00EB7413"/>
    <w:rsid w:val="00ED0636"/>
    <w:rsid w:val="00EE0DDC"/>
    <w:rsid w:val="00EF1CC3"/>
    <w:rsid w:val="00EF3364"/>
    <w:rsid w:val="00EF6665"/>
    <w:rsid w:val="00F05EF3"/>
    <w:rsid w:val="00F27516"/>
    <w:rsid w:val="00F51781"/>
    <w:rsid w:val="00F53EA4"/>
    <w:rsid w:val="00F54642"/>
    <w:rsid w:val="00F5537F"/>
    <w:rsid w:val="00F56C82"/>
    <w:rsid w:val="00F64252"/>
    <w:rsid w:val="00F65E5D"/>
    <w:rsid w:val="00F822F3"/>
    <w:rsid w:val="00F836D9"/>
    <w:rsid w:val="00F83B06"/>
    <w:rsid w:val="00F8440C"/>
    <w:rsid w:val="00FA0CC9"/>
    <w:rsid w:val="00FA4D9D"/>
    <w:rsid w:val="00FB7748"/>
    <w:rsid w:val="00FC15D2"/>
    <w:rsid w:val="00FC298C"/>
    <w:rsid w:val="00FD0DF0"/>
    <w:rsid w:val="00FD1715"/>
    <w:rsid w:val="00FF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2EB00A"/>
  <w15:docId w15:val="{18BD23C5-88A6-4B80-B0B9-D4500DA4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49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D4942"/>
    <w:pPr>
      <w:keepNext/>
      <w:suppressAutoHyphens/>
      <w:snapToGrid w:val="0"/>
      <w:jc w:val="center"/>
      <w:outlineLvl w:val="0"/>
    </w:pPr>
    <w:rPr>
      <w:rFonts w:ascii="Arial Narrow" w:hAnsi="Arial Narrow"/>
      <w:b/>
      <w:bCs/>
      <w:sz w:val="18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49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D4942"/>
    <w:rPr>
      <w:rFonts w:ascii="Arial Narrow" w:eastAsia="Times New Roman" w:hAnsi="Arial Narrow" w:cs="Times New Roman"/>
      <w:b/>
      <w:bCs/>
      <w:sz w:val="18"/>
      <w:szCs w:val="20"/>
      <w:lang w:eastAsia="ar-SA"/>
    </w:rPr>
  </w:style>
  <w:style w:type="paragraph" w:customStyle="1" w:styleId="Normal9pt">
    <w:name w:val="Normal 9 pt"/>
    <w:basedOn w:val="Normalny"/>
    <w:rsid w:val="002D4942"/>
    <w:pPr>
      <w:suppressAutoHyphens/>
    </w:pPr>
    <w:rPr>
      <w:rFonts w:ascii="Arial" w:hAnsi="Arial" w:cs="Arial"/>
      <w:sz w:val="18"/>
      <w:szCs w:val="18"/>
      <w:lang w:eastAsia="ar-SA"/>
    </w:rPr>
  </w:style>
  <w:style w:type="paragraph" w:customStyle="1" w:styleId="Zawartotabeli">
    <w:name w:val="Zawartość tabeli"/>
    <w:basedOn w:val="Normalny"/>
    <w:rsid w:val="002D4942"/>
    <w:pPr>
      <w:widowControl w:val="0"/>
      <w:suppressLineNumbers/>
      <w:suppressAutoHyphens/>
    </w:pPr>
    <w:rPr>
      <w:lang w:eastAsia="ar-SA"/>
    </w:rPr>
  </w:style>
  <w:style w:type="paragraph" w:customStyle="1" w:styleId="a">
    <w:name w:val="正文"/>
    <w:rsid w:val="00853BC9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497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Lista-kontynuacja2">
    <w:name w:val="List Continue 2"/>
    <w:basedOn w:val="Lista-kontynuacja"/>
    <w:unhideWhenUsed/>
    <w:rsid w:val="00C4497F"/>
    <w:pPr>
      <w:spacing w:after="160"/>
      <w:ind w:left="1080" w:hanging="360"/>
      <w:contextualSpacing w:val="0"/>
    </w:pPr>
    <w:rPr>
      <w:sz w:val="20"/>
      <w:szCs w:val="20"/>
    </w:rPr>
  </w:style>
  <w:style w:type="paragraph" w:styleId="Akapitzlist">
    <w:name w:val="List Paragraph"/>
    <w:aliases w:val="sw tekst,L1,Numerowanie,Akapit z listą BS,ISCG Numerowanie,lp1"/>
    <w:basedOn w:val="Normalny"/>
    <w:link w:val="AkapitzlistZnak"/>
    <w:uiPriority w:val="34"/>
    <w:qFormat/>
    <w:rsid w:val="00C4497F"/>
    <w:pPr>
      <w:spacing w:after="200" w:line="276" w:lineRule="auto"/>
      <w:ind w:left="720"/>
      <w:contextualSpacing/>
    </w:pPr>
    <w:rPr>
      <w:rFonts w:ascii="Arial" w:eastAsia="Calibri" w:hAnsi="Arial"/>
      <w:sz w:val="20"/>
      <w:szCs w:val="20"/>
      <w:lang w:val="en-US" w:eastAsia="en-US"/>
    </w:rPr>
  </w:style>
  <w:style w:type="paragraph" w:customStyle="1" w:styleId="AbsatzTableFormat">
    <w:name w:val="AbsatzTableFormat"/>
    <w:basedOn w:val="Normalny"/>
    <w:autoRedefine/>
    <w:rsid w:val="00C4497F"/>
    <w:rPr>
      <w:rFonts w:ascii="Arial" w:hAnsi="Arial" w:cs="Arial"/>
      <w:sz w:val="20"/>
      <w:szCs w:val="20"/>
    </w:rPr>
  </w:style>
  <w:style w:type="paragraph" w:customStyle="1" w:styleId="Standard">
    <w:name w:val="Standard"/>
    <w:rsid w:val="00C4497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Lista-kontynuacja22">
    <w:name w:val="Lista - kontynuacja 22"/>
    <w:basedOn w:val="Normalny"/>
    <w:rsid w:val="00C4497F"/>
    <w:pPr>
      <w:suppressAutoHyphens/>
      <w:spacing w:after="160"/>
      <w:ind w:left="1080" w:hanging="360"/>
    </w:pPr>
    <w:rPr>
      <w:sz w:val="20"/>
      <w:szCs w:val="20"/>
      <w:lang w:eastAsia="ar-SA"/>
    </w:rPr>
  </w:style>
  <w:style w:type="paragraph" w:customStyle="1" w:styleId="Lista-kontynuacja24">
    <w:name w:val="Lista - kontynuacja 24"/>
    <w:basedOn w:val="Normalny"/>
    <w:rsid w:val="00C4497F"/>
    <w:pPr>
      <w:widowControl w:val="0"/>
      <w:suppressAutoHyphens/>
      <w:spacing w:after="120"/>
      <w:ind w:left="566"/>
    </w:pPr>
    <w:rPr>
      <w:rFonts w:eastAsia="Andale Sans UI"/>
      <w:kern w:val="2"/>
      <w:lang w:eastAsia="ar-SA"/>
    </w:rPr>
  </w:style>
  <w:style w:type="paragraph" w:styleId="Lista-kontynuacja">
    <w:name w:val="List Continue"/>
    <w:basedOn w:val="Normalny"/>
    <w:uiPriority w:val="99"/>
    <w:semiHidden/>
    <w:unhideWhenUsed/>
    <w:rsid w:val="00C4497F"/>
    <w:pPr>
      <w:spacing w:after="120"/>
      <w:ind w:left="283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42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25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4B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4B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44B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44B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44B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44B28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4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4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440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4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440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63AD2"/>
    <w:rPr>
      <w:color w:val="0000FF" w:themeColor="hyperlink"/>
      <w:u w:val="single"/>
    </w:rPr>
  </w:style>
  <w:style w:type="character" w:customStyle="1" w:styleId="AkapitzlistZnak">
    <w:name w:val="Akapit z listą Znak"/>
    <w:aliases w:val="sw tekst Znak,L1 Znak,Numerowanie Znak,Akapit z listą BS Znak,ISCG Numerowanie Znak,lp1 Znak"/>
    <w:basedOn w:val="Domylnaczcionkaakapitu"/>
    <w:link w:val="Akapitzlist"/>
    <w:uiPriority w:val="34"/>
    <w:qFormat/>
    <w:locked/>
    <w:rsid w:val="00AE5B39"/>
    <w:rPr>
      <w:rFonts w:ascii="Arial" w:eastAsia="Calibri" w:hAnsi="Arial" w:cs="Times New Roman"/>
      <w:sz w:val="20"/>
      <w:szCs w:val="20"/>
      <w:lang w:val="en-US"/>
    </w:rPr>
  </w:style>
  <w:style w:type="paragraph" w:styleId="NormalnyWeb">
    <w:name w:val="Normal (Web)"/>
    <w:basedOn w:val="Normalny"/>
    <w:uiPriority w:val="99"/>
    <w:unhideWhenUsed/>
    <w:qFormat/>
    <w:rsid w:val="00FA4D9D"/>
    <w:pPr>
      <w:spacing w:before="100" w:beforeAutospacing="1" w:after="100" w:afterAutospacing="1"/>
    </w:pPr>
  </w:style>
  <w:style w:type="character" w:styleId="Numerstrony">
    <w:name w:val="page number"/>
    <w:basedOn w:val="Domylnaczcionkaakapitu"/>
    <w:rsid w:val="00B97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0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5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3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5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88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3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4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8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1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6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0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8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0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3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B14BC-8E62-474C-A460-C674025B1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42</Pages>
  <Words>7187</Words>
  <Characters>43128</Characters>
  <Application>Microsoft Office Word</Application>
  <DocSecurity>0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50215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</dc:creator>
  <cp:lastModifiedBy>Michał Smelik</cp:lastModifiedBy>
  <cp:revision>37</cp:revision>
  <cp:lastPrinted>2020-06-28T12:07:00Z</cp:lastPrinted>
  <dcterms:created xsi:type="dcterms:W3CDTF">2019-01-23T06:14:00Z</dcterms:created>
  <dcterms:modified xsi:type="dcterms:W3CDTF">2020-07-14T16:10:00Z</dcterms:modified>
</cp:coreProperties>
</file>