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E93" w:rsidRPr="007314E4" w:rsidRDefault="00413554" w:rsidP="000C52D0">
      <w:pPr>
        <w:shd w:val="clear" w:color="auto" w:fill="EEECE1" w:themeFill="background2"/>
        <w:spacing w:line="276" w:lineRule="auto"/>
        <w:jc w:val="center"/>
        <w:rPr>
          <w:rFonts w:ascii="Century Gothic" w:hAnsi="Century Gothic"/>
          <w:b/>
        </w:rPr>
      </w:pPr>
      <w:r w:rsidRPr="007314E4">
        <w:rPr>
          <w:rFonts w:ascii="Century Gothic" w:hAnsi="Century Gothic"/>
          <w:b/>
        </w:rPr>
        <w:t>Opis przedmiotu zamówienia</w:t>
      </w:r>
      <w:r w:rsidR="00532084" w:rsidRPr="007314E4">
        <w:rPr>
          <w:rFonts w:ascii="Century Gothic" w:hAnsi="Century Gothic"/>
          <w:b/>
        </w:rPr>
        <w:t xml:space="preserve"> </w:t>
      </w:r>
    </w:p>
    <w:p w:rsidR="0030642C" w:rsidRPr="007314E4" w:rsidRDefault="0030642C" w:rsidP="000C52D0">
      <w:pPr>
        <w:spacing w:line="276" w:lineRule="auto"/>
        <w:rPr>
          <w:rFonts w:ascii="Century Gothic" w:hAnsi="Century Gothic"/>
          <w:b/>
        </w:rPr>
      </w:pPr>
    </w:p>
    <w:p w:rsidR="0030642C" w:rsidRPr="0023621F" w:rsidRDefault="0030642C" w:rsidP="0023621F">
      <w:pPr>
        <w:spacing w:line="276" w:lineRule="auto"/>
        <w:ind w:left="2124" w:hanging="2124"/>
        <w:jc w:val="both"/>
        <w:rPr>
          <w:rFonts w:ascii="Century Gothic" w:hAnsi="Century Gothic"/>
        </w:rPr>
      </w:pPr>
      <w:r w:rsidRPr="007314E4">
        <w:rPr>
          <w:rFonts w:ascii="Century Gothic" w:hAnsi="Century Gothic"/>
          <w:b/>
        </w:rPr>
        <w:t>Zadanie nr 1</w:t>
      </w:r>
      <w:r w:rsidR="00B77597" w:rsidRPr="007314E4">
        <w:rPr>
          <w:rFonts w:ascii="Century Gothic" w:hAnsi="Century Gothic"/>
          <w:b/>
        </w:rPr>
        <w:t xml:space="preserve"> </w:t>
      </w:r>
      <w:r w:rsidR="00B77597" w:rsidRPr="007314E4">
        <w:rPr>
          <w:rFonts w:ascii="Century Gothic" w:hAnsi="Century Gothic"/>
        </w:rPr>
        <w:t xml:space="preserve">- </w:t>
      </w:r>
      <w:r w:rsidR="00B77597" w:rsidRPr="007314E4">
        <w:rPr>
          <w:rFonts w:ascii="Century Gothic" w:hAnsi="Century Gothic"/>
        </w:rPr>
        <w:tab/>
      </w:r>
      <w:r w:rsidR="0023621F">
        <w:rPr>
          <w:rFonts w:ascii="Century Gothic" w:hAnsi="Century Gothic"/>
        </w:rPr>
        <w:t>Z</w:t>
      </w:r>
      <w:r w:rsidR="0023621F" w:rsidRPr="0023621F">
        <w:rPr>
          <w:rFonts w:ascii="Century Gothic" w:hAnsi="Century Gothic"/>
        </w:rPr>
        <w:t>akup tomografu komputerowego wraz z dostosowaniem pomieszczeń oraz niezbędnym wyposażeniem dla Wojewódzkiego Szpitala im. Św. Ojca Pio w Przemyślu</w:t>
      </w:r>
    </w:p>
    <w:p w:rsidR="00B77597" w:rsidRPr="007314E4" w:rsidRDefault="00B77597" w:rsidP="000C52D0">
      <w:pPr>
        <w:spacing w:line="276" w:lineRule="auto"/>
        <w:rPr>
          <w:rFonts w:ascii="Century Gothic" w:hAnsi="Century Gothic"/>
          <w:b/>
        </w:rPr>
      </w:pPr>
    </w:p>
    <w:p w:rsidR="00BD1E93" w:rsidRPr="007314E4" w:rsidRDefault="003B6D5B" w:rsidP="000C52D0">
      <w:pPr>
        <w:spacing w:line="276" w:lineRule="auto"/>
        <w:rPr>
          <w:rFonts w:ascii="Century Gothic" w:hAnsi="Century Gothic"/>
        </w:rPr>
      </w:pPr>
      <w:r w:rsidRPr="007314E4">
        <w:rPr>
          <w:rFonts w:ascii="Century Gothic" w:hAnsi="Century Gothic"/>
          <w:b/>
        </w:rPr>
        <w:t xml:space="preserve">Rozdział nr I - </w:t>
      </w:r>
      <w:r w:rsidR="00413554" w:rsidRPr="007314E4">
        <w:rPr>
          <w:rFonts w:ascii="Century Gothic" w:hAnsi="Century Gothic"/>
          <w:i/>
        </w:rPr>
        <w:t>Parametry techniczne i eksploatacyjne</w:t>
      </w:r>
    </w:p>
    <w:tbl>
      <w:tblPr>
        <w:tblW w:w="1529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5387"/>
        <w:gridCol w:w="1134"/>
        <w:gridCol w:w="4976"/>
        <w:gridCol w:w="2835"/>
      </w:tblGrid>
      <w:tr w:rsidR="00AE5B39" w:rsidRPr="002A2C81" w:rsidTr="00753652">
        <w:trPr>
          <w:tblHeader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bookmarkStart w:id="0" w:name="OLE_LINK1"/>
            <w:r w:rsidRPr="002A2C81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  <w:t>LP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B39" w:rsidRPr="002A2C81" w:rsidRDefault="00AE5B39" w:rsidP="00753652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2A2C81">
              <w:rPr>
                <w:rFonts w:ascii="Century Gothic" w:hAnsi="Century Gothic" w:cs="Arial"/>
                <w:b/>
                <w:sz w:val="16"/>
                <w:szCs w:val="16"/>
              </w:rPr>
              <w:t>Opis parametru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B39" w:rsidRPr="002A2C81" w:rsidRDefault="00AE5B39" w:rsidP="00753652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2A2C81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Parametr / wartość / ilość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A2C81">
              <w:rPr>
                <w:rFonts w:ascii="Century Gothic" w:hAnsi="Century Gothic"/>
                <w:b/>
                <w:bCs/>
                <w:sz w:val="16"/>
                <w:szCs w:val="16"/>
              </w:rPr>
              <w:t>Parametr oferowany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2A2C81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  <w:t>SPOSÓB OCENY</w:t>
            </w: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0"/>
                <w:numId w:val="15"/>
              </w:numPr>
              <w:spacing w:before="20" w:after="20"/>
              <w:ind w:left="473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2A2C81" w:rsidRDefault="00AE5B39" w:rsidP="00753652">
            <w:pPr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sz w:val="20"/>
                <w:szCs w:val="20"/>
              </w:rPr>
              <w:t>Tomograf komputerowy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b/>
                <w:bCs/>
                <w:sz w:val="16"/>
                <w:szCs w:val="20"/>
              </w:rPr>
            </w:pP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2A2C81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WYMAGANIA OGÓLNE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Tomograf komputerowy (TK) nowy wyprodukowany w 2020 roku, nieużywany, nie rekondycjonowany, w najnowszej wersji sprzętowej  i  oprogramowania na dzień składania oferty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Tomograf komputerowy całego ciała, umożliwiający uzyskanie min. 128 warstw badanego obszaru w czasie jednego pełnego obrotu układu lampa-detektor, posiadający detektor minimum 64 rzędowy w osi 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Tomograf komputerowy umożliwiający wykonanie pełnego zakresu badań klinicznych obejmującego: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 jak poniżej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badania klatki piersiowej, jamy brzusznej i miednicy wraz z wielofazowymi i dynamicznymi badaniami </w:t>
            </w:r>
            <w:r w:rsidRPr="002A2C81">
              <w:rPr>
                <w:rFonts w:ascii="Century Gothic" w:hAnsi="Century Gothic" w:cs="Arial Narrow"/>
                <w:sz w:val="20"/>
                <w:szCs w:val="20"/>
              </w:rPr>
              <w:lastRenderedPageBreak/>
              <w:t xml:space="preserve">narządów tych obszarów anatomicznych,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badania klatki piersiowej w wysokiej rozdzielczości (HRCT),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badania rozedmy płuc,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badania guzków płuc,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badania mózgowia,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747F68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badania naczyń domózgowych, wewnątrzczaszkowych, dużych naczyń oraz naczyń obwodowych na odcinku  min. do 150 cm, wraz z automatyczną analizą ich przebiegu oraz oceną ilościową wymiarów z grubością warstwy &lt; 0,6</w:t>
            </w:r>
            <w:r w:rsidRPr="002A2C81">
              <w:rPr>
                <w:rFonts w:ascii="Century Gothic" w:hAnsi="Century Gothic" w:cs="Arial Narrow"/>
                <w:color w:val="FF0000"/>
                <w:sz w:val="20"/>
                <w:szCs w:val="20"/>
              </w:rPr>
              <w:t>7</w:t>
            </w:r>
            <w:r w:rsidRPr="002A2C81">
              <w:rPr>
                <w:rFonts w:ascii="Century Gothic" w:hAnsi="Century Gothic" w:cs="Arial Narrow"/>
                <w:strike/>
                <w:color w:val="FF0000"/>
                <w:sz w:val="20"/>
                <w:szCs w:val="20"/>
              </w:rPr>
              <w:t>5</w:t>
            </w: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 mm,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badania naczyń wieńcowych serca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akwizycję submilimetrową (&lt; 0,65 mm)  niewielkich struktur anatomicznych, takich jak narządy wewnątrz piramid kości skroniowych,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badania ortopedyczne,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badania wielourazowe w zakresie min. 150 cm,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dynamiczne badania angiograficzne,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2A2C81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dynamiczne badania perfuzji głowy w zakresie min. </w:t>
            </w:r>
            <w:r w:rsidRPr="002A2C81">
              <w:rPr>
                <w:rFonts w:ascii="Century Gothic" w:hAnsi="Century Gothic" w:cs="Arial Narrow"/>
                <w:strike/>
                <w:color w:val="FF0000"/>
                <w:sz w:val="20"/>
                <w:szCs w:val="20"/>
              </w:rPr>
              <w:t>120</w:t>
            </w: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 </w:t>
            </w:r>
            <w:r w:rsidRPr="002A2C81">
              <w:rPr>
                <w:rFonts w:ascii="Century Gothic" w:hAnsi="Century Gothic" w:cs="Arial Narrow"/>
                <w:color w:val="FF0000"/>
                <w:sz w:val="20"/>
                <w:szCs w:val="20"/>
              </w:rPr>
              <w:t xml:space="preserve">85 </w:t>
            </w:r>
            <w:r w:rsidRPr="002A2C81">
              <w:rPr>
                <w:rFonts w:ascii="Century Gothic" w:hAnsi="Century Gothic" w:cs="Arial Narrow"/>
                <w:sz w:val="20"/>
                <w:szCs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</w:rPr>
            </w:pPr>
            <w:r w:rsidRPr="002A2C81">
              <w:rPr>
                <w:rFonts w:ascii="Century Gothic" w:hAnsi="Century Gothic" w:cs="Arial Narrow"/>
                <w:sz w:val="16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85 mm – 0 pkt.,</w:t>
            </w:r>
          </w:p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86 – 119 mm – 1 pkt.</w:t>
            </w:r>
          </w:p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120 mm i więcej – 3 pkt.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badania pediatryczne wykonywane przy napięciu </w:t>
            </w:r>
            <w:r w:rsidRPr="002A2C81">
              <w:rPr>
                <w:rFonts w:ascii="Century Gothic" w:hAnsi="Century Gothic" w:cs="Arial Narrow"/>
                <w:sz w:val="20"/>
                <w:szCs w:val="20"/>
              </w:rPr>
              <w:lastRenderedPageBreak/>
              <w:t>anodowym nie większym od 80kV,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lastRenderedPageBreak/>
              <w:t xml:space="preserve">Tak, podać </w:t>
            </w:r>
            <w:r w:rsidRPr="002A2C81">
              <w:rPr>
                <w:rFonts w:ascii="Century Gothic" w:hAnsi="Century Gothic" w:cs="Arial Narrow"/>
                <w:sz w:val="16"/>
                <w:szCs w:val="20"/>
              </w:rPr>
              <w:lastRenderedPageBreak/>
              <w:t>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badania pacjentów otyłych przy napięciu anodowym nie mniejszym od 135kV.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Niezależne konsole </w:t>
            </w:r>
            <w:r w:rsidRPr="002A2C81">
              <w:rPr>
                <w:rFonts w:ascii="Century Gothic" w:hAnsi="Century Gothic" w:cs="Arial Narrow"/>
                <w:bCs/>
                <w:sz w:val="20"/>
                <w:szCs w:val="20"/>
              </w:rPr>
              <w:t>:</w:t>
            </w:r>
          </w:p>
          <w:p w:rsidR="002A2C81" w:rsidRPr="002A2C81" w:rsidRDefault="002A2C81" w:rsidP="002A2C81">
            <w:pPr>
              <w:spacing w:before="20" w:after="20" w:line="276" w:lineRule="auto"/>
              <w:ind w:left="116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- konsola operatorska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2C81" w:rsidRPr="002A2C81" w:rsidRDefault="002A2C81" w:rsidP="002A2C81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GANTRY i STÓŁ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Średnica otworu gantry  [cm]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&gt;= 70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autoSpaceDE w:val="0"/>
              <w:autoSpaceDN w:val="0"/>
              <w:adjustRightInd w:val="0"/>
              <w:spacing w:before="40" w:after="40" w:line="276" w:lineRule="auto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20"/>
                <w:szCs w:val="20"/>
              </w:rPr>
              <w:t>Kąt pochylania gantry [</w:t>
            </w: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º]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2A2C81" w:rsidRPr="002A2C81" w:rsidRDefault="002A2C81" w:rsidP="002A2C81">
            <w:pPr>
              <w:spacing w:before="40" w:after="4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&gt;= (+/-) 30</w:t>
            </w:r>
          </w:p>
          <w:p w:rsidR="002A2C81" w:rsidRPr="002A2C81" w:rsidRDefault="002A2C81" w:rsidP="002A2C81">
            <w:pPr>
              <w:spacing w:before="40" w:after="4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FF0000"/>
                <w:sz w:val="16"/>
                <w:szCs w:val="20"/>
              </w:rPr>
              <w:t>&gt;= (-</w:t>
            </w:r>
            <w:r w:rsidRPr="002A2C81">
              <w:rPr>
                <w:rFonts w:ascii="Century Gothic" w:hAnsi="Century Gothic" w:cs="Arial Narrow"/>
                <w:color w:val="FF0000"/>
                <w:sz w:val="16"/>
              </w:rPr>
              <w:t>24 / +30°</w:t>
            </w:r>
            <w:r w:rsidRPr="002A2C81">
              <w:rPr>
                <w:rFonts w:ascii="Century Gothic" w:hAnsi="Century Gothic" w:cs="Arial Narrow"/>
                <w:color w:val="FF0000"/>
                <w:sz w:val="16"/>
                <w:szCs w:val="20"/>
              </w:rPr>
              <w:t>)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pacing w:before="40" w:after="40" w:line="276" w:lineRule="auto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pacing w:before="40" w:after="40" w:line="276" w:lineRule="auto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  <w:p w:rsidR="002A2C81" w:rsidRPr="002A2C81" w:rsidRDefault="002A2C81" w:rsidP="002A2C81">
            <w:pPr>
              <w:spacing w:before="40" w:after="40" w:line="276" w:lineRule="auto"/>
              <w:rPr>
                <w:rFonts w:ascii="Century Gothic" w:hAnsi="Century Gothic" w:cs="Arial Narrow"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FF0000"/>
                <w:sz w:val="16"/>
                <w:szCs w:val="20"/>
              </w:rPr>
              <w:t>&gt;= (+/-) 30 – 2 pkt.,</w:t>
            </w:r>
          </w:p>
          <w:p w:rsidR="002A2C81" w:rsidRPr="002A2C81" w:rsidRDefault="002A2C81" w:rsidP="002A2C81">
            <w:pPr>
              <w:spacing w:before="40" w:after="40" w:line="276" w:lineRule="auto"/>
              <w:rPr>
                <w:rFonts w:ascii="Century Gothic" w:hAnsi="Century Gothic" w:cs="Arial Narrow"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FF0000"/>
                <w:sz w:val="16"/>
                <w:szCs w:val="20"/>
              </w:rPr>
              <w:t>&gt;= (+</w:t>
            </w:r>
            <w:r w:rsidRPr="002A2C81">
              <w:rPr>
                <w:rFonts w:ascii="Century Gothic" w:hAnsi="Century Gothic" w:cs="Arial Narrow"/>
                <w:color w:val="FF0000"/>
                <w:sz w:val="16"/>
              </w:rPr>
              <w:t>28 / -30°</w:t>
            </w:r>
            <w:r w:rsidRPr="002A2C81">
              <w:rPr>
                <w:rFonts w:ascii="Century Gothic" w:hAnsi="Century Gothic" w:cs="Arial Narrow"/>
                <w:color w:val="FF0000"/>
                <w:sz w:val="16"/>
                <w:szCs w:val="20"/>
              </w:rPr>
              <w:t>) – 1 pkt.,</w:t>
            </w:r>
          </w:p>
          <w:p w:rsidR="002A2C81" w:rsidRPr="002A2C81" w:rsidRDefault="002A2C81" w:rsidP="002A2C81">
            <w:pPr>
              <w:spacing w:before="40" w:after="40" w:line="276" w:lineRule="auto"/>
              <w:rPr>
                <w:rFonts w:ascii="Century Gothic" w:hAnsi="Century Gothic" w:cs="Arial Narrow"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FF0000"/>
                <w:sz w:val="16"/>
                <w:szCs w:val="20"/>
              </w:rPr>
              <w:t>&gt; (-</w:t>
            </w:r>
            <w:r w:rsidRPr="002A2C81">
              <w:rPr>
                <w:rFonts w:ascii="Century Gothic" w:hAnsi="Century Gothic" w:cs="Arial Narrow"/>
                <w:color w:val="FF0000"/>
                <w:sz w:val="16"/>
              </w:rPr>
              <w:t>24 / +30°</w:t>
            </w:r>
            <w:r w:rsidRPr="002A2C81">
              <w:rPr>
                <w:rFonts w:ascii="Century Gothic" w:hAnsi="Century Gothic" w:cs="Arial Narrow"/>
                <w:color w:val="FF0000"/>
                <w:sz w:val="16"/>
                <w:szCs w:val="20"/>
              </w:rPr>
              <w:t>) – 0,5 pkt.,</w:t>
            </w:r>
          </w:p>
          <w:p w:rsidR="002A2C81" w:rsidRPr="002A2C81" w:rsidRDefault="002A2C81" w:rsidP="002A2C81">
            <w:pPr>
              <w:spacing w:before="40" w:after="40" w:line="276" w:lineRule="auto"/>
              <w:rPr>
                <w:rFonts w:ascii="Century Gothic" w:hAnsi="Century Gothic" w:cs="Arial Narrow"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FF0000"/>
                <w:sz w:val="16"/>
                <w:szCs w:val="20"/>
              </w:rPr>
              <w:t>= (-</w:t>
            </w:r>
            <w:r w:rsidRPr="002A2C81">
              <w:rPr>
                <w:rFonts w:ascii="Century Gothic" w:hAnsi="Century Gothic" w:cs="Arial Narrow"/>
                <w:color w:val="FF0000"/>
                <w:sz w:val="16"/>
              </w:rPr>
              <w:t>24 / +30°</w:t>
            </w:r>
            <w:r w:rsidRPr="002A2C81">
              <w:rPr>
                <w:rFonts w:ascii="Century Gothic" w:hAnsi="Century Gothic" w:cs="Arial Narrow"/>
                <w:color w:val="FF0000"/>
                <w:sz w:val="16"/>
                <w:szCs w:val="20"/>
              </w:rPr>
              <w:t>) – 0 pkt.,</w:t>
            </w:r>
          </w:p>
          <w:p w:rsidR="002A2C81" w:rsidRPr="002A2C81" w:rsidRDefault="002A2C81" w:rsidP="002A2C81">
            <w:pPr>
              <w:spacing w:before="40" w:after="40" w:line="276" w:lineRule="auto"/>
              <w:rPr>
                <w:rFonts w:ascii="Century Gothic" w:eastAsia="Calibri" w:hAnsi="Century Gothic" w:cs="Calibri"/>
                <w:color w:val="FF0000"/>
                <w:sz w:val="16"/>
                <w:szCs w:val="16"/>
                <w:lang w:eastAsia="zh-CN"/>
              </w:rPr>
            </w:pP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20"/>
                <w:szCs w:val="20"/>
              </w:rPr>
              <w:t>Sterowanie gantry i stołu z min. 2 stron lub z dowolnego miejsca w pokoju badań za pomocą mobilnego urządzenia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20"/>
                <w:szCs w:val="20"/>
              </w:rPr>
              <w:t>Sterowanie ruchami stołu za pomocą przycisków nożnych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2A2C81" w:rsidRPr="002A2C81" w:rsidTr="00B90D7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20"/>
                <w:szCs w:val="20"/>
              </w:rPr>
              <w:t>Automatyczne pozycjonowanie stołu – ustawianie pozycji referencyjnej po wybraniu na panelu sterującym umieszczonym na gantry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Tak,</w:t>
            </w:r>
            <w:r w:rsidRPr="002A2C81">
              <w:rPr>
                <w:rFonts w:ascii="Century Gothic" w:hAnsi="Century Gothic" w:cs="Arial Narrow"/>
                <w:color w:val="FF0000"/>
                <w:sz w:val="16"/>
                <w:szCs w:val="20"/>
              </w:rPr>
              <w:t xml:space="preserve"> </w:t>
            </w: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C81" w:rsidRPr="002A2C81" w:rsidRDefault="00BE60B6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Tak – 5</w:t>
            </w:r>
            <w:r w:rsidR="002A2C81" w:rsidRPr="002A2C81">
              <w:rPr>
                <w:rFonts w:ascii="Century Gothic" w:hAnsi="Century Gothic"/>
                <w:color w:val="FF0000"/>
                <w:sz w:val="16"/>
                <w:szCs w:val="20"/>
              </w:rPr>
              <w:t xml:space="preserve"> pkt.,</w:t>
            </w:r>
          </w:p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Nie – 0 pkt.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>Wyświetlanie filmów instruktażowych dla pacjenta na monitorze umieszczonym na gantry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tak – 1 pkt., nie – 0 pkt.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  <w:highlight w:val="green"/>
              </w:rPr>
            </w:pPr>
            <w:r w:rsidRPr="002A2C81">
              <w:rPr>
                <w:rFonts w:ascii="Century Gothic" w:hAnsi="Century Gothic" w:cs="Arial Narrow"/>
                <w:color w:val="000000"/>
                <w:sz w:val="20"/>
                <w:szCs w:val="20"/>
              </w:rPr>
              <w:t xml:space="preserve">Tryb badań nagłych – wybór pacjenta, protokołu badania z listy  i uruchomienie badania </w:t>
            </w:r>
            <w:r w:rsidRPr="002A2C81">
              <w:rPr>
                <w:rFonts w:ascii="Century Gothic" w:hAnsi="Century Gothic" w:cs="Arial Narrow"/>
                <w:color w:val="000000"/>
                <w:sz w:val="20"/>
                <w:szCs w:val="20"/>
              </w:rPr>
              <w:lastRenderedPageBreak/>
              <w:t>bezpośrednio z gantry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  <w:highlight w:val="green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tak – 1 pkt., nie – 0 pkt.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20"/>
                <w:szCs w:val="20"/>
              </w:rPr>
              <w:t>Wskaźnik zatrzymania oddechu oraz możliwość nagrywania poleceń słownych w języku polskim i automatyczne ich odtwarzanie w zależności od protokołów badań.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Maksymalne dopuszczalne obciążenie stołu, dla precyzji pozycjonowania ± 0,25 mm, nie mniejsze niż </w:t>
            </w:r>
            <w:r w:rsidRPr="002A2C81">
              <w:rPr>
                <w:rFonts w:ascii="Century Gothic" w:hAnsi="Century Gothic" w:cs="Arial Narrow"/>
                <w:color w:val="FF0000"/>
                <w:sz w:val="20"/>
                <w:szCs w:val="20"/>
              </w:rPr>
              <w:t>205</w:t>
            </w:r>
            <w:r w:rsidRPr="002A2C81">
              <w:rPr>
                <w:rFonts w:ascii="Century Gothic" w:hAnsi="Century Gothic" w:cs="Arial Narrow"/>
                <w:strike/>
                <w:color w:val="FF0000"/>
                <w:sz w:val="20"/>
                <w:szCs w:val="20"/>
              </w:rPr>
              <w:t>20</w:t>
            </w: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250 [kg] i więcej – 1 pkt., mniejsze wartości – 0 pkt.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Wyposażenie stołu w:</w:t>
            </w:r>
          </w:p>
          <w:p w:rsidR="002A2C81" w:rsidRPr="002A2C81" w:rsidRDefault="002A2C81" w:rsidP="002A2C81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- materac,</w:t>
            </w:r>
          </w:p>
          <w:p w:rsidR="002A2C81" w:rsidRPr="002A2C81" w:rsidRDefault="002A2C81" w:rsidP="002A2C81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- podpórkę pod głowę pozbawioną elementów metalowych,</w:t>
            </w:r>
          </w:p>
          <w:p w:rsidR="002A2C81" w:rsidRPr="002A2C81" w:rsidRDefault="002A2C81" w:rsidP="002A2C81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- podpórka pod kolana,</w:t>
            </w:r>
          </w:p>
          <w:p w:rsidR="002A2C81" w:rsidRPr="002A2C81" w:rsidRDefault="002A2C81" w:rsidP="002A2C81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- pasy lub listwy unieruchamiające </w:t>
            </w:r>
          </w:p>
          <w:p w:rsidR="002A2C81" w:rsidRPr="002A2C81" w:rsidRDefault="002A2C81" w:rsidP="002A2C81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- podpórka pod głowę i ręce </w:t>
            </w:r>
          </w:p>
          <w:p w:rsidR="002A2C81" w:rsidRPr="002A2C81" w:rsidRDefault="002A2C81" w:rsidP="002A2C81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- osłona stołu chroniąca przed zalaniem płynami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>Moduł synchronizacji akwizycji z przebiegiem EKG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2C81" w:rsidRPr="002A2C81" w:rsidRDefault="002A2C81" w:rsidP="002A2C81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GENERATOR, LAMPA RTG I DETEKTOR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9C6A32" w:rsidRDefault="002A2C81" w:rsidP="002A2C81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</w:rPr>
            </w:pPr>
            <w:r w:rsidRPr="009C6A32">
              <w:rPr>
                <w:rFonts w:ascii="Century Gothic" w:hAnsi="Century Gothic" w:cs="Arial Narrow"/>
              </w:rPr>
              <w:t xml:space="preserve">Maksymalna moc generatora [kW] nie wynikająca z przeliczeń na podstawie algorytmów poprawiających jakość obraz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9C6A32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</w:rPr>
            </w:pPr>
            <w:r w:rsidRPr="009C6A32">
              <w:rPr>
                <w:rFonts w:ascii="Century Gothic" w:hAnsi="Century Gothic" w:cs="Arial Narrow"/>
                <w:color w:val="000000"/>
                <w:sz w:val="16"/>
              </w:rPr>
              <w:t>Tak, podać i opisać</w:t>
            </w:r>
          </w:p>
          <w:p w:rsidR="002A2C81" w:rsidRPr="009C6A32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</w:rPr>
            </w:pPr>
            <w:r w:rsidRPr="009C6A32">
              <w:rPr>
                <w:rFonts w:ascii="Century Gothic" w:hAnsi="Century Gothic" w:cs="Arial Narrow"/>
                <w:sz w:val="16"/>
              </w:rPr>
              <w:t>&gt;= 72 [kW]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9C6A32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9C6A32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9C6A32">
              <w:rPr>
                <w:rFonts w:ascii="Century Gothic" w:hAnsi="Century Gothic"/>
                <w:sz w:val="16"/>
                <w:szCs w:val="20"/>
              </w:rPr>
              <w:t>72 kW –  0 pkt.,</w:t>
            </w:r>
          </w:p>
          <w:p w:rsidR="002A2C81" w:rsidRPr="009C6A32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9C6A32">
              <w:rPr>
                <w:rFonts w:ascii="Century Gothic" w:hAnsi="Century Gothic"/>
                <w:color w:val="FF0000"/>
                <w:sz w:val="16"/>
                <w:szCs w:val="20"/>
              </w:rPr>
              <w:t xml:space="preserve">Powyżej 72kW i </w:t>
            </w:r>
            <w:r w:rsidRPr="009C6A32">
              <w:rPr>
                <w:rFonts w:ascii="Century Gothic" w:hAnsi="Century Gothic"/>
                <w:sz w:val="16"/>
                <w:szCs w:val="20"/>
              </w:rPr>
              <w:t>Poniżej 100 kW – 2 pkt.,</w:t>
            </w:r>
          </w:p>
          <w:p w:rsidR="002A2C81" w:rsidRPr="009C6A32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9C6A32">
              <w:rPr>
                <w:rFonts w:ascii="Century Gothic" w:hAnsi="Century Gothic"/>
                <w:sz w:val="16"/>
                <w:szCs w:val="20"/>
              </w:rPr>
              <w:t xml:space="preserve">&gt;= 100kW – 5 pkt. 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>Minimalne napięcie anodowe możliwe do zastosowania w protokołach badań [kV]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≤ 80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>Maksymalne napięcie anodowe, możliwe do zastosowania w protokołach badań [kV]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≥ 135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>Maksymalny prąd anody, możliwy do zastosowania w protokołach badań [mA]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≥ 400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Modulacja prądu anody w czasie rzeczywistym, jednocześnie w osiach x,y,z.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Rzeczywista pojemność cieplna anody lampy rtg [MHU]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&gt;=7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>Maksymalna szybkość chłodzenia anody lampy [kHU/min]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&gt;=780 MHU/min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Liczba ognisk lampy rtg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&gt;=2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Automatyczny wybór ognisk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>Detektory typu stałego – liczba rzędów detektora min. 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>Szerokość detektora w osi Z odniesiona do izocentrum [mm]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&gt;=38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2A2C81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Liczba aktywnych elementów detektora w płaszczyźnie xy (dla 1 rzędu w osi z)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16"/>
                <w:szCs w:val="20"/>
              </w:rPr>
              <w:t>Tak, podać i opisać</w:t>
            </w:r>
          </w:p>
          <w:p w:rsidR="002A2C81" w:rsidRPr="002A2C81" w:rsidRDefault="002A2C81" w:rsidP="002A2C81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16"/>
                <w:szCs w:val="20"/>
              </w:rPr>
              <w:t>&gt;800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C81" w:rsidRPr="002A2C81" w:rsidRDefault="002A2C81" w:rsidP="002A2C81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50094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949" w:rsidRPr="002A2C81" w:rsidRDefault="00500949" w:rsidP="00500949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949" w:rsidRPr="00500949" w:rsidRDefault="00500949" w:rsidP="00500949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16"/>
                <w:highlight w:val="green"/>
              </w:rPr>
            </w:pPr>
            <w:r w:rsidRPr="00500949">
              <w:rPr>
                <w:rFonts w:ascii="Century Gothic" w:hAnsi="Century Gothic"/>
                <w:sz w:val="20"/>
                <w:szCs w:val="16"/>
              </w:rPr>
              <w:t>Odległość ognisko lampy rtg – detektor mniejsza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949" w:rsidRPr="00170E42" w:rsidRDefault="00500949" w:rsidP="00500949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</w:rPr>
            </w:pPr>
            <w:r w:rsidRPr="00170E42">
              <w:rPr>
                <w:rFonts w:ascii="Century Gothic" w:hAnsi="Century Gothic" w:cs="Arial Narrow"/>
                <w:color w:val="000000"/>
                <w:sz w:val="16"/>
              </w:rPr>
              <w:t>Tak, podać i opisać</w:t>
            </w:r>
          </w:p>
          <w:p w:rsidR="00500949" w:rsidRDefault="00500949" w:rsidP="00500949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</w:rPr>
            </w:pPr>
            <w:r w:rsidRPr="00B569AC">
              <w:rPr>
                <w:rFonts w:ascii="Century Gothic" w:hAnsi="Century Gothic" w:cs="Arial Narrow"/>
                <w:strike/>
                <w:color w:val="FF0000"/>
                <w:sz w:val="16"/>
              </w:rPr>
              <w:t>&lt;=100 cm</w:t>
            </w:r>
          </w:p>
          <w:p w:rsidR="00500949" w:rsidRPr="00B569AC" w:rsidRDefault="00500949" w:rsidP="00500949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highlight w:val="green"/>
              </w:rPr>
            </w:pPr>
            <w:r>
              <w:rPr>
                <w:rFonts w:ascii="Century Gothic" w:hAnsi="Century Gothic" w:cs="Arial Narrow"/>
                <w:color w:val="FF0000"/>
                <w:sz w:val="16"/>
              </w:rPr>
              <w:t>&lt;=108,5</w:t>
            </w:r>
            <w:r w:rsidRPr="00B569AC">
              <w:rPr>
                <w:rFonts w:ascii="Century Gothic" w:hAnsi="Century Gothic" w:cs="Arial Narrow"/>
                <w:color w:val="FF0000"/>
                <w:sz w:val="16"/>
              </w:rPr>
              <w:t xml:space="preserve"> cm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949" w:rsidRPr="007314E4" w:rsidRDefault="00500949" w:rsidP="00500949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949" w:rsidRDefault="00500949" w:rsidP="00500949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569AC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100</w:t>
            </w:r>
            <w:r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 xml:space="preserve"> </w:t>
            </w:r>
            <w:r w:rsidRPr="00B569AC">
              <w:rPr>
                <w:rFonts w:ascii="Century Gothic" w:hAnsi="Century Gothic"/>
                <w:color w:val="FF0000"/>
                <w:sz w:val="16"/>
                <w:szCs w:val="20"/>
              </w:rPr>
              <w:t>108,5</w:t>
            </w:r>
            <w:r w:rsidRPr="007314E4">
              <w:rPr>
                <w:rFonts w:ascii="Century Gothic" w:hAnsi="Century Gothic"/>
                <w:sz w:val="16"/>
                <w:szCs w:val="20"/>
              </w:rPr>
              <w:t xml:space="preserve"> cm – 0 pkt.,</w:t>
            </w:r>
          </w:p>
          <w:p w:rsidR="00500949" w:rsidRPr="00B569AC" w:rsidRDefault="00500949" w:rsidP="00500949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B569AC">
              <w:rPr>
                <w:rFonts w:ascii="Century Gothic" w:hAnsi="Century Gothic"/>
                <w:color w:val="FF0000"/>
                <w:sz w:val="16"/>
                <w:szCs w:val="20"/>
              </w:rPr>
              <w:t>108,</w:t>
            </w:r>
            <w:r>
              <w:rPr>
                <w:rFonts w:ascii="Century Gothic" w:hAnsi="Century Gothic"/>
                <w:color w:val="FF0000"/>
                <w:sz w:val="16"/>
                <w:szCs w:val="20"/>
              </w:rPr>
              <w:t>4</w:t>
            </w:r>
            <w:r w:rsidRPr="00B569AC">
              <w:rPr>
                <w:rFonts w:ascii="Century Gothic" w:hAnsi="Century Gothic"/>
                <w:color w:val="FF0000"/>
                <w:sz w:val="16"/>
                <w:szCs w:val="20"/>
              </w:rPr>
              <w:t xml:space="preserve"> </w:t>
            </w:r>
            <w:r>
              <w:rPr>
                <w:rFonts w:ascii="Century Gothic" w:hAnsi="Century Gothic"/>
                <w:color w:val="FF0000"/>
                <w:sz w:val="16"/>
                <w:szCs w:val="20"/>
              </w:rPr>
              <w:t>– 100 cm – 1</w:t>
            </w:r>
            <w:r w:rsidRPr="00B569AC">
              <w:rPr>
                <w:rFonts w:ascii="Century Gothic" w:hAnsi="Century Gothic"/>
                <w:color w:val="FF0000"/>
                <w:sz w:val="16"/>
                <w:szCs w:val="20"/>
              </w:rPr>
              <w:t xml:space="preserve"> pkt.,</w:t>
            </w:r>
          </w:p>
          <w:p w:rsidR="00500949" w:rsidRPr="007314E4" w:rsidRDefault="00500949" w:rsidP="00500949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99,9 – 95 cm – 2 pkt.,</w:t>
            </w:r>
          </w:p>
          <w:p w:rsidR="00500949" w:rsidRPr="007314E4" w:rsidRDefault="00500949" w:rsidP="00500949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Poniżej 95 cm – 5 pkt.</w:t>
            </w:r>
          </w:p>
        </w:tc>
      </w:tr>
      <w:tr w:rsidR="00500949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0949" w:rsidRPr="002A2C81" w:rsidRDefault="00500949" w:rsidP="00500949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0949" w:rsidRPr="002A2C81" w:rsidRDefault="00500949" w:rsidP="00500949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SYSTEM SKANOWANIA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0949" w:rsidRPr="002A2C81" w:rsidRDefault="00500949" w:rsidP="00500949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0949" w:rsidRPr="002A2C81" w:rsidRDefault="00500949" w:rsidP="00500949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0949" w:rsidRPr="002A2C81" w:rsidRDefault="00500949" w:rsidP="00500949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</w:tr>
      <w:tr w:rsidR="00A43152" w:rsidRPr="002A2C81" w:rsidTr="008E026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90072E" w:rsidRDefault="00A43152" w:rsidP="00A431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90072E">
              <w:rPr>
                <w:rFonts w:ascii="Century Gothic" w:hAnsi="Century Gothic"/>
                <w:sz w:val="20"/>
                <w:szCs w:val="20"/>
              </w:rPr>
              <w:t xml:space="preserve">Najkrótszy czas pełnego </w:t>
            </w:r>
            <w:r w:rsidRPr="0090072E">
              <w:rPr>
                <w:rFonts w:ascii="Century Gothic" w:hAnsi="Century Gothic"/>
                <w:color w:val="000000"/>
                <w:sz w:val="20"/>
                <w:szCs w:val="20"/>
              </w:rPr>
              <w:t>obrotu (360º ) układu lampa rtg – detektor [s]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90072E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90072E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43152" w:rsidRPr="0090072E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90072E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≤ 0,35</w:t>
            </w:r>
          </w:p>
          <w:p w:rsidR="00A43152" w:rsidRPr="0090072E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90072E">
              <w:rPr>
                <w:rFonts w:ascii="Century Gothic" w:hAnsi="Century Gothic" w:cs="Calibri"/>
                <w:color w:val="FF0000"/>
                <w:sz w:val="16"/>
              </w:rPr>
              <w:t>≤ 0,40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26D" w:rsidRPr="002A2C81" w:rsidRDefault="008E026D" w:rsidP="008E026D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  <w:p w:rsidR="00A43152" w:rsidRPr="00A43152" w:rsidRDefault="00A43152" w:rsidP="008E026D">
            <w:pPr>
              <w:pStyle w:val="NormalnyWeb"/>
              <w:spacing w:before="20" w:beforeAutospacing="0" w:after="20" w:afterAutospacing="0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A43152">
              <w:rPr>
                <w:rFonts w:ascii="Century Gothic" w:hAnsi="Century Gothic"/>
                <w:color w:val="FF0000"/>
                <w:sz w:val="16"/>
                <w:szCs w:val="20"/>
              </w:rPr>
              <w:t>≤ 0,35 - 5 pkt;</w:t>
            </w:r>
          </w:p>
          <w:p w:rsidR="00A43152" w:rsidRPr="00A43152" w:rsidRDefault="00A43152" w:rsidP="008E026D">
            <w:pPr>
              <w:pStyle w:val="NormalnyWeb"/>
              <w:spacing w:before="20" w:beforeAutospacing="0" w:after="20" w:afterAutospacing="0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A43152">
              <w:rPr>
                <w:rFonts w:ascii="Century Gothic" w:hAnsi="Century Gothic"/>
                <w:color w:val="FF0000"/>
                <w:sz w:val="16"/>
                <w:szCs w:val="20"/>
              </w:rPr>
              <w:t>0,36 – 0,39 - 1 pkt.</w:t>
            </w:r>
          </w:p>
          <w:p w:rsidR="00A43152" w:rsidRPr="002A2C81" w:rsidRDefault="00A43152" w:rsidP="008E026D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A43152">
              <w:rPr>
                <w:rFonts w:ascii="Century Gothic" w:hAnsi="Century Gothic"/>
                <w:color w:val="FF0000"/>
                <w:sz w:val="16"/>
                <w:szCs w:val="20"/>
              </w:rPr>
              <w:t>0,4 – 0 pkt.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/>
                <w:sz w:val="20"/>
                <w:szCs w:val="20"/>
              </w:rPr>
              <w:t>Maksymalna szybkość skanowania [mm/s]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≥ 170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8E026D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Grubość najcieńszej dostępnej warstwy rekonstruowanej z akwizycji wielowarstowej z maksymalną ilością warstw [mm]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≤ 0,65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Maksymalny zakres badania przy ciągłym skanie spiralnym/helikalnym, bez przerwy na chłodzenie lampy [cm]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≥ 180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180 cm – 0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181 – 185 cm – 2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 xml:space="preserve">&gt;185 cm – 5 </w:t>
            </w:r>
            <w:r w:rsidRPr="002A2C81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cm</w:t>
            </w:r>
            <w:r w:rsidRPr="002A2C81">
              <w:rPr>
                <w:rFonts w:ascii="Century Gothic" w:hAnsi="Century Gothic"/>
                <w:sz w:val="16"/>
                <w:szCs w:val="20"/>
              </w:rPr>
              <w:t xml:space="preserve"> </w:t>
            </w: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pkt.</w:t>
            </w:r>
          </w:p>
        </w:tc>
      </w:tr>
      <w:tr w:rsidR="00A43152" w:rsidRPr="002A2C81" w:rsidTr="00B90D7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20"/>
                <w:szCs w:val="20"/>
              </w:rPr>
              <w:t>Rozwiązanie nr 1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Dynamiczny kolimator ograniczający dawkę promieniowania w osi Z na początku i na końcu skanu spiralnego.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20"/>
                <w:szCs w:val="20"/>
              </w:rPr>
              <w:t>Lub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20"/>
                <w:szCs w:val="20"/>
              </w:rPr>
              <w:t>Rozwiązanie nr 2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 w:cs="Arial Narrow"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color w:val="FF0000"/>
                <w:sz w:val="20"/>
                <w:szCs w:val="20"/>
              </w:rPr>
              <w:t>kątowa modulacja dawki oraz modulacja dawki wzdłuż obszaru skanowania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Tak,</w:t>
            </w: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 xml:space="preserve">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Rozwi</w:t>
            </w:r>
            <w:r>
              <w:rPr>
                <w:rFonts w:ascii="Century Gothic" w:hAnsi="Century Gothic"/>
                <w:color w:val="FF0000"/>
                <w:sz w:val="16"/>
                <w:szCs w:val="20"/>
              </w:rPr>
              <w:t>ązanie nr 1 – 5</w:t>
            </w: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 xml:space="preserve">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Rozwiązanie nr 2 – 0 pkt.,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>Maksymalna wartość współczynnika pitch przy akwizycji min. 64 warstw w korekcją stożka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&gt;=1,5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>Długość skanu topograficznego [cm]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  <w:r w:rsidRPr="002A2C81">
              <w:rPr>
                <w:rFonts w:ascii="Century Gothic" w:hAnsi="Century Gothic"/>
                <w:sz w:val="16"/>
                <w:szCs w:val="20"/>
              </w:rPr>
              <w:t xml:space="preserve"> &gt;=150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>Wyświetlanie topogramu w czasie rzeczywistym z możliwością jego zatrzymania w dowolnym czasie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Maksymalne, rekonstruowane pole obrazowania </w:t>
            </w:r>
            <w:r w:rsidRPr="002A2C81">
              <w:rPr>
                <w:rFonts w:ascii="Century Gothic" w:hAnsi="Century Gothic"/>
                <w:sz w:val="20"/>
                <w:szCs w:val="20"/>
              </w:rPr>
              <w:lastRenderedPageBreak/>
              <w:t>FOV [cm]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 xml:space="preserve">Tak, podać </w:t>
            </w: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i opisać</w:t>
            </w:r>
          </w:p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≥ 50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Możliwość rekonstrukcji pola obrazowania </w:t>
            </w:r>
            <w:r w:rsidRPr="002A2C81">
              <w:rPr>
                <w:rFonts w:ascii="Century Gothic" w:hAnsi="Century Gothic"/>
                <w:strike/>
                <w:color w:val="FF0000"/>
                <w:sz w:val="20"/>
                <w:szCs w:val="20"/>
              </w:rPr>
              <w:t>powyżej</w:t>
            </w:r>
            <w:r w:rsidRPr="002A2C81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≥ </w:t>
            </w:r>
            <w:r w:rsidRPr="002A2C81">
              <w:rPr>
                <w:rFonts w:ascii="Century Gothic" w:hAnsi="Century Gothic"/>
                <w:sz w:val="20"/>
                <w:szCs w:val="20"/>
              </w:rPr>
              <w:t>50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Matryca rekonstrukcyjna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Min. 512x512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Matryca prezentacyjna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Min. 1024x1024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Rozdzielczość wysokokontrastowa w płaszczyźnie x,y, mierzona w polu akwizycyjnym FOV=50 cm w punkcie 50% charakterystyki MTF.[pl/cm]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≥ 12</w:t>
            </w:r>
          </w:p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≥ 10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10 – 0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11 – 12 – 2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Powyżej 12 – 5 pkt.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>Rozdzielczość niskokontrastowa przy różnicy gęstości 3 HU, określona dla najkrótszego skanu pełnego zmierzona na fantomie CATHPAN o średnicy 20 cm, dla napięcia ≥ 120 kV, dla warstwy 10 mm [mm]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16"/>
                <w:szCs w:val="20"/>
              </w:rPr>
              <w:t>≤ 5 mm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>Szybkość rekonstrukcji obrazów w matrycy 512 x 512 [obrazy/s].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43152" w:rsidRPr="002A2C81" w:rsidRDefault="00A43152" w:rsidP="00A43152">
            <w:pPr>
              <w:spacing w:before="20" w:after="20"/>
              <w:jc w:val="center"/>
              <w:rPr>
                <w:rFonts w:ascii="Century Gothic" w:hAnsi="Century Gothic" w:cs="Arial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16"/>
                <w:szCs w:val="20"/>
              </w:rPr>
              <w:t>≥ 20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20 – 0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21 – 40 – 1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Powyżej 40 – 2 pkt.,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Niskodawkowy, iteracyjny algorytm przetwarzający dane surowe (RAW) oraz redukujący szum w obszarze obrazu, umożliwiający redukcję dawki o co najmniej 60% </w:t>
            </w: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>możliwy do wykorzystania dla każdego trybu pracy, każdego rodzaju badania oraz każdego czasu skanowania.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60 – 0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61 – 80 – 2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Powyżej 80 – 5 pkt.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sz w:val="20"/>
                <w:szCs w:val="20"/>
              </w:rPr>
              <w:t>Dedykowany algorytm do usuwania artefaktów od metalu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KONSOLA OPERATORSKA</w:t>
            </w:r>
            <w:r w:rsidRPr="002A2C81">
              <w:rPr>
                <w:rFonts w:ascii="Century Gothic" w:hAnsi="Century Gothic" w:cs="Arial Narrow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20"/>
                <w:szCs w:val="20"/>
              </w:rPr>
              <w:t>Stanowisko operatorskie - dwumonitorowa konsola akwizycyjna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Przekątna kolorowego monitora z aktywną matrycą ciekłokrystaliczną typu Flat ["]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&gt;=19’’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Pojemność dysku twardego dla obrazów bez kompresji (512x512), wyrażona liczbą obrazów.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&gt;=  300 000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Bezpośrednia rekonstrukcja warstw MPR bez konieczności wstępnej rekonstrukcji cienkich warstw aksjalnych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Archiwizacja badań pacjentów na CD-R i DVD w standardzie DICOM 3.0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96495F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strike/>
                <w:color w:val="FF000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96495F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trike/>
                <w:color w:val="FF0000"/>
                <w:sz w:val="20"/>
                <w:szCs w:val="20"/>
              </w:rPr>
            </w:pPr>
            <w:r w:rsidRPr="0096495F">
              <w:rPr>
                <w:rFonts w:ascii="Century Gothic" w:hAnsi="Century Gothic" w:cs="Arial Narrow"/>
                <w:strike/>
                <w:color w:val="FF0000"/>
                <w:sz w:val="20"/>
                <w:szCs w:val="20"/>
              </w:rPr>
              <w:t>Dwukierunkowy interkom do komunikacji głosowej z pacjentem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96495F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96495F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96495F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96495F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96495F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Interfejs sieciowy zgodnie z DICOM 3.0 z następującymi klasami serwisowymi:                                                                 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- Send/Receive                                                                             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- Basic Print                                                                                  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- Query/ Retrieve 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- Storage Commitment  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- Worklist ,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- </w:t>
            </w:r>
            <w:r w:rsidRPr="002A2C81">
              <w:rPr>
                <w:rFonts w:ascii="Century Gothic" w:hAnsi="Century Gothic" w:cs="Arial"/>
                <w:sz w:val="20"/>
                <w:szCs w:val="20"/>
              </w:rPr>
              <w:t>Structured Dose Report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uppressAutoHyphens/>
              <w:rPr>
                <w:rFonts w:ascii="Century Gothic" w:hAnsi="Century Gothic" w:cs="Calibri"/>
                <w:b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Calibri"/>
                <w:b/>
                <w:color w:val="FF0000"/>
                <w:sz w:val="20"/>
                <w:szCs w:val="20"/>
              </w:rPr>
              <w:t>Rozwiązanie nr 1</w:t>
            </w:r>
          </w:p>
          <w:p w:rsidR="00A43152" w:rsidRPr="002A2C81" w:rsidRDefault="00A43152" w:rsidP="00A43152">
            <w:pPr>
              <w:suppressAutoHyphens/>
              <w:rPr>
                <w:rFonts w:ascii="Century Gothic" w:hAnsi="Century Gothic" w:cs="Calibri"/>
                <w:sz w:val="20"/>
                <w:szCs w:val="20"/>
              </w:rPr>
            </w:pPr>
            <w:r w:rsidRPr="002A2C81">
              <w:rPr>
                <w:rFonts w:ascii="Century Gothic" w:hAnsi="Century Gothic" w:cs="Calibri"/>
                <w:sz w:val="20"/>
                <w:szCs w:val="20"/>
              </w:rPr>
              <w:t xml:space="preserve">Sterowanie dostarczoną automatyczną strzykawką. Sprzężenie min. klasy I wg. CiA 425 </w:t>
            </w:r>
          </w:p>
          <w:p w:rsidR="00A43152" w:rsidRPr="002A2C81" w:rsidRDefault="00A43152" w:rsidP="00A43152">
            <w:pPr>
              <w:suppressAutoHyphens/>
              <w:rPr>
                <w:rFonts w:ascii="Century Gothic" w:hAnsi="Century Gothic" w:cs="Calibri"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Calibri"/>
                <w:color w:val="FF0000"/>
                <w:sz w:val="20"/>
                <w:szCs w:val="20"/>
              </w:rPr>
              <w:t xml:space="preserve">lub </w:t>
            </w:r>
          </w:p>
          <w:p w:rsidR="00A43152" w:rsidRPr="002A2C81" w:rsidRDefault="00A43152" w:rsidP="00A43152">
            <w:pPr>
              <w:suppressAutoHyphens/>
              <w:rPr>
                <w:rFonts w:ascii="Century Gothic" w:hAnsi="Century Gothic" w:cs="Calibri"/>
                <w:b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Calibri"/>
                <w:b/>
                <w:color w:val="FF0000"/>
                <w:sz w:val="20"/>
                <w:szCs w:val="20"/>
              </w:rPr>
              <w:t>Rozwiązanie nr 2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Calibri"/>
                <w:color w:val="FF0000"/>
                <w:sz w:val="20"/>
                <w:szCs w:val="20"/>
              </w:rPr>
              <w:t>sterowanie strzykawką z konsoli / monitora znajdującego się w konsoli technika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OPROGRAMOWANIE ZAINSTALOWANE NA KONSOLI OPERATORSKIEJ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Rekonstrukcje 2D,3D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MIP (Maximum Intensity Projection)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SSD (Surface Shaded Display)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  <w:highlight w:val="yellow"/>
              </w:rPr>
            </w:pPr>
            <w:r w:rsidRPr="002A2C81">
              <w:rPr>
                <w:rFonts w:ascii="Century Gothic" w:hAnsi="Century Gothic" w:cs="Arial"/>
                <w:sz w:val="20"/>
                <w:szCs w:val="20"/>
              </w:rPr>
              <w:t>VRT (Volume Rendering Technique)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Rekonstrukcje MPR (również skośne i krzywoliniowe z danych zbieranych przy dowolnym kącie gantry)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Prezentacje cine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uppressAutoHyphens/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  <w:lang w:eastAsia="ar-SA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Pomiary geometryczne (długości / kątów / powierzchni / objętości)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Pomiary analityczne (</w:t>
            </w:r>
            <w:r w:rsidRPr="002A2C81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min.: </w:t>
            </w:r>
            <w:r w:rsidRPr="002A2C81">
              <w:rPr>
                <w:rFonts w:ascii="Century Gothic" w:hAnsi="Century Gothic"/>
                <w:sz w:val="20"/>
                <w:szCs w:val="20"/>
              </w:rPr>
              <w:t xml:space="preserve">pomiar poziomu gęstości, </w:t>
            </w:r>
            <w:r w:rsidRPr="002A2C81">
              <w:rPr>
                <w:rFonts w:ascii="Century Gothic" w:hAnsi="Century Gothic"/>
                <w:strike/>
                <w:color w:val="FF0000"/>
                <w:sz w:val="20"/>
                <w:szCs w:val="20"/>
              </w:rPr>
              <w:t>profile gęstości,</w:t>
            </w:r>
            <w:r w:rsidRPr="002A2C81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r w:rsidRPr="002A2C81">
              <w:rPr>
                <w:rFonts w:ascii="Century Gothic" w:hAnsi="Century Gothic"/>
                <w:sz w:val="20"/>
                <w:szCs w:val="20"/>
              </w:rPr>
              <w:t>analiza skanu dynamicznego).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Wielozadaniowość/wielodostęp, w tym możliwość automatycznej rekonstrukcji, archiwizacji i dokumentacji w tle (w trakcie skanowania).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Tak,</w:t>
            </w:r>
            <w:r w:rsidRPr="002A2C81">
              <w:rPr>
                <w:rFonts w:ascii="Century Gothic" w:hAnsi="Century Gothic" w:cs="Arial Narrow"/>
                <w:color w:val="FF0000"/>
                <w:sz w:val="16"/>
                <w:szCs w:val="20"/>
              </w:rPr>
              <w:t xml:space="preserve"> </w:t>
            </w: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Tak – 2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Nie – 0 pkt.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Oprogramowanie do synchronizacji startu badania spiralnego na podstawie automatycznej analizy </w:t>
            </w:r>
            <w:r w:rsidRPr="002A2C81">
              <w:rPr>
                <w:rFonts w:ascii="Century Gothic" w:hAnsi="Century Gothic" w:cs="Arial Narrow"/>
                <w:sz w:val="20"/>
                <w:szCs w:val="20"/>
              </w:rPr>
              <w:lastRenderedPageBreak/>
              <w:t>napływu środka cieniującego w zadanej warstwie bez wykonywania wstrzyknięć testowych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Kompletny zestaw protokołów do badania wszystkich obszarów anatomicznych , z możliwością ich projektowania i zapamiętywania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/>
                <w:sz w:val="20"/>
                <w:szCs w:val="20"/>
              </w:rPr>
              <w:t>Specjalistyczny algorytm do usuwania artefaktów od metalu i protez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Automatyczne, bez udziału operatora, ustawianie zakresu badania, dla danego pacjenta, na podstawie znaczników anatomicznych topogramu i wybranego protokołu badania </w:t>
            </w:r>
          </w:p>
          <w:p w:rsidR="00A43152" w:rsidRPr="002A2C81" w:rsidRDefault="00A43152" w:rsidP="00A431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Lub</w:t>
            </w:r>
          </w:p>
          <w:p w:rsidR="00A43152" w:rsidRPr="002A2C81" w:rsidRDefault="00A43152" w:rsidP="00A431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Automatyczne pozycjonowanie pacjenta do określonej na gantry pozycji anatomicznej (min. 3 pozycje)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Tak – 2 pkt,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Nie – 0 pkt.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Automatyczne alarmowanie obsługi o możliwości przekroczenia dawki referencyjnej w danym badaniu (przed wykonaniem badania).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Oprogramowanie do skanowania wyzwalanego impulsami EKG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uppressAutoHyphens/>
              <w:spacing w:before="20" w:after="20"/>
              <w:jc w:val="both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>ładownie obrazów wielofazowych, przeglądanie danych i wybieranie fazy lub faz do dalszego przetwarzania już bez faz nie mających znaczenia diagnostycznego, rejestrację obrazów z różnych faz cyklu serca w specjalnym zbiorze danych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uppressAutoHyphens/>
              <w:spacing w:before="20" w:after="20"/>
              <w:jc w:val="both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Modulowanie promieniowania RTG sygnałem EKG przy obrazowaniu tętnic wieńcowych w czasie skanu spiralnego.(pełna dawka w wyznaczonych fazach pracy serca, obniżona w pozostałych)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uppressAutoHyphens/>
              <w:spacing w:before="20" w:after="20"/>
              <w:jc w:val="both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Automatyczne, bez udziału operatora, ustawianie </w:t>
            </w:r>
            <w:r w:rsidRPr="002A2C8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lastRenderedPageBreak/>
              <w:t>nachylenia płaszczyzn rekonstrukcji obrazu kręgów i numerowanie kręgów kręgosłupa w badaniach odcinkowych jak i całego kręgosłupa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 xml:space="preserve">podać i </w:t>
            </w: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Tak – 1 pkt,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lastRenderedPageBreak/>
              <w:t>Nie – 0 pkt.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Oprogramowanie do oceny perfuzji mózgu umożliwiające ocenę ilościową i jakościową (mapy barwne) co najmniej następujących parametrów: rBF (miejscowy przepływ krwi), rBV (miejscowa objętość krwi) oraz TTP (czas do szczytu krzywej wzmocnienia) i MTT (średni czas przejścia)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Oprogramowanie do usuwania artefaktów pochodzących od metalowych obiektów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Serwer aplikacyjny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>Rozbudowa serwera będącego w posiadaniu Zamawiającego lub dostawa nowego serwera o poniższych parametrach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NormalnyWeb"/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Rozbudowa serwera o funkcjonalności z </w:t>
            </w:r>
            <w:r w:rsidRPr="002A2C81">
              <w:rPr>
                <w:rFonts w:ascii="Century Gothic" w:hAnsi="Century Gothic"/>
                <w:b/>
                <w:sz w:val="20"/>
                <w:szCs w:val="20"/>
              </w:rPr>
              <w:t>pkt. 81 – 123</w:t>
            </w:r>
            <w:r w:rsidRPr="002A2C81">
              <w:rPr>
                <w:rFonts w:ascii="Century Gothic" w:hAnsi="Century Gothic"/>
                <w:sz w:val="20"/>
                <w:szCs w:val="20"/>
              </w:rPr>
              <w:t xml:space="preserve"> po 1 jednoczasowej licencji dla typu oprogramowania oraz jedno stanowisko lekarskie – konsola zależna wyposażona w min. 1 monitor medyczny o przekątnej min. 30” i monitor opisowy min. 19”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7314E4" w:rsidRDefault="00A43152" w:rsidP="00A43152">
            <w:pPr>
              <w:pStyle w:val="NormalnyWeb"/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Dostawa nowego serwera lub układu serwerów aplikacyjnych o poniższych parametrach wraz z jednym jednoczasowym dostępem dla funkcjonalności z pkt. </w:t>
            </w:r>
            <w:r w:rsidRPr="007314E4">
              <w:rPr>
                <w:rFonts w:ascii="Century Gothic" w:hAnsi="Century Gothic"/>
                <w:b/>
                <w:sz w:val="20"/>
                <w:szCs w:val="20"/>
              </w:rPr>
              <w:t>75 – 123</w:t>
            </w:r>
            <w:r w:rsidRPr="007314E4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A43152" w:rsidRPr="00AA0CF3" w:rsidRDefault="00A43152" w:rsidP="00A431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liczba procesorów: min. 2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AA0CF3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lub min. 1 procesor </w:t>
            </w:r>
            <w:r w:rsidRPr="00AF3166">
              <w:rPr>
                <w:rFonts w:ascii="Century Gothic" w:eastAsia="Century Gothic" w:hAnsi="Century Gothic" w:cs="Century Gothic"/>
                <w:color w:val="FF0000"/>
                <w:sz w:val="20"/>
                <w:szCs w:val="16"/>
                <w:lang w:eastAsia="en-US"/>
              </w:rPr>
              <w:t xml:space="preserve">wielordzeniowy, który uzyskał w teście Passmark CPU Mark, na podstawie strony internetowej </w:t>
            </w:r>
            <w:hyperlink r:id="rId8" w:history="1">
              <w:r w:rsidRPr="00AD16BB">
                <w:rPr>
                  <w:rStyle w:val="Hipercze"/>
                  <w:rFonts w:ascii="Century Gothic" w:eastAsia="Century Gothic" w:hAnsi="Century Gothic" w:cs="Century Gothic"/>
                  <w:color w:val="0563C1"/>
                  <w:sz w:val="20"/>
                  <w:szCs w:val="16"/>
                  <w:lang w:eastAsia="en-US"/>
                </w:rPr>
                <w:t>https://www.cpubenchmark.net/cpu_list.php</w:t>
              </w:r>
            </w:hyperlink>
            <w:r w:rsidRPr="00AD16BB">
              <w:rPr>
                <w:rFonts w:ascii="Century Gothic" w:eastAsia="Century Gothic" w:hAnsi="Century Gothic" w:cs="Century Gothic"/>
                <w:sz w:val="20"/>
                <w:szCs w:val="16"/>
                <w:lang w:eastAsia="en-US"/>
              </w:rPr>
              <w:t xml:space="preserve">, </w:t>
            </w:r>
            <w:r w:rsidRPr="00AF3166">
              <w:rPr>
                <w:rFonts w:ascii="Century Gothic" w:eastAsia="Century Gothic" w:hAnsi="Century Gothic" w:cs="Century Gothic"/>
                <w:color w:val="FF0000"/>
                <w:sz w:val="20"/>
                <w:szCs w:val="16"/>
                <w:lang w:eastAsia="en-US"/>
              </w:rPr>
              <w:t xml:space="preserve">min. 22 011 (wynik na dzień </w:t>
            </w:r>
            <w:r>
              <w:rPr>
                <w:rFonts w:ascii="Century Gothic" w:eastAsia="Century Gothic" w:hAnsi="Century Gothic" w:cs="Century Gothic"/>
                <w:color w:val="FF0000"/>
                <w:sz w:val="20"/>
                <w:szCs w:val="16"/>
                <w:lang w:eastAsia="en-US"/>
              </w:rPr>
              <w:t>05.08.2020 r.</w:t>
            </w:r>
            <w:r w:rsidRPr="00AF3166">
              <w:rPr>
                <w:rFonts w:ascii="Century Gothic" w:eastAsia="Century Gothic" w:hAnsi="Century Gothic" w:cs="Century Gothic"/>
                <w:color w:val="FF0000"/>
                <w:sz w:val="20"/>
                <w:szCs w:val="16"/>
                <w:lang w:eastAsia="en-US"/>
              </w:rPr>
              <w:t>)</w:t>
            </w:r>
          </w:p>
          <w:p w:rsidR="00A43152" w:rsidRPr="007314E4" w:rsidRDefault="00A43152" w:rsidP="00A431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lastRenderedPageBreak/>
              <w:t xml:space="preserve">pamięć RAM: min. 64 GB </w:t>
            </w:r>
          </w:p>
          <w:p w:rsidR="00A43152" w:rsidRPr="007314E4" w:rsidRDefault="00A43152" w:rsidP="00A431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wbudowana macierz w konfiguracji RAID </w:t>
            </w:r>
          </w:p>
          <w:p w:rsidR="00A43152" w:rsidRPr="007314E4" w:rsidRDefault="00A43152" w:rsidP="00A431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pojemności macierzy: min. 2 TB</w:t>
            </w:r>
          </w:p>
          <w:p w:rsidR="00A43152" w:rsidRPr="007314E4" w:rsidRDefault="00A43152" w:rsidP="00A431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ind w:left="714" w:hanging="357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0"/>
              </w:rPr>
              <w:t>serwer umożliwiający jednoczesne przetwarzanie min. 40 000 warstw</w:t>
            </w:r>
          </w:p>
          <w:p w:rsidR="00A43152" w:rsidRPr="007314E4" w:rsidRDefault="00A43152" w:rsidP="00A431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0"/>
              </w:rPr>
              <w:t>trzy stanowiska lekarskie – konsole zależne wyposażone w min. 1 monitor medyczny o przekątnej min. 30” i monitor opisowy min. 19"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7314E4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/>
                <w:b/>
                <w:sz w:val="20"/>
                <w:szCs w:val="20"/>
              </w:rPr>
              <w:t>Oprogramowanie serwera aplikacyjnego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FF0000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Interfejs sieciowy zgodnie z DICOM 3.0 obsługujący następujące klasy serwisowe:                                    </w:t>
            </w:r>
          </w:p>
          <w:p w:rsidR="00A43152" w:rsidRPr="002A2C81" w:rsidRDefault="00A43152" w:rsidP="00A43152">
            <w:pPr>
              <w:numPr>
                <w:ilvl w:val="0"/>
                <w:numId w:val="28"/>
              </w:numPr>
              <w:suppressAutoHyphens/>
              <w:spacing w:before="20" w:after="20"/>
              <w:ind w:left="266" w:hanging="21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Send / Receive</w:t>
            </w:r>
          </w:p>
          <w:p w:rsidR="00A43152" w:rsidRPr="002A2C81" w:rsidRDefault="00A43152" w:rsidP="00A43152">
            <w:pPr>
              <w:numPr>
                <w:ilvl w:val="0"/>
                <w:numId w:val="28"/>
              </w:numPr>
              <w:suppressAutoHyphens/>
              <w:spacing w:before="20" w:after="20"/>
              <w:ind w:left="266" w:hanging="21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Basic Print</w:t>
            </w:r>
          </w:p>
          <w:p w:rsidR="00A43152" w:rsidRPr="002A2C81" w:rsidRDefault="00A43152" w:rsidP="00A43152">
            <w:pPr>
              <w:numPr>
                <w:ilvl w:val="0"/>
                <w:numId w:val="28"/>
              </w:numPr>
              <w:suppressAutoHyphens/>
              <w:spacing w:before="20" w:after="20"/>
              <w:ind w:left="266" w:hanging="21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Query / Retrieve</w:t>
            </w:r>
          </w:p>
          <w:p w:rsidR="00A43152" w:rsidRPr="002A2C81" w:rsidRDefault="00A43152" w:rsidP="00A43152">
            <w:pPr>
              <w:numPr>
                <w:ilvl w:val="0"/>
                <w:numId w:val="28"/>
              </w:numPr>
              <w:suppressAutoHyphens/>
              <w:spacing w:before="20" w:after="20"/>
              <w:ind w:left="266" w:hanging="21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Storage Commitment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MIP (Maximum Intensity Projection)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SSD (Surface Shaded Display)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VRT (Volume Rendering Technique)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Pomiary odległości, kąta, powierzchni, objętości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Reformatowanie wielopłaszczyznowe (MPR), rekonstrukcje wzdłuż dowolnej prostej (równoległe lub promieniste) lub po krzywej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Oprogramowanie do segmentacji i ekstrakcji struktur kostnych typu „bone removal” </w:t>
            </w:r>
            <w:r w:rsidRPr="002A2C81">
              <w:rPr>
                <w:rFonts w:ascii="Century Gothic" w:hAnsi="Century Gothic"/>
                <w:b/>
                <w:sz w:val="20"/>
                <w:szCs w:val="20"/>
                <w:u w:val="single"/>
              </w:rPr>
              <w:t>lub równoważne</w:t>
            </w:r>
            <w:r w:rsidRPr="002A2C81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500949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 w:cs="Arial Narrow"/>
                <w:color w:val="000000"/>
                <w:sz w:val="20"/>
                <w:szCs w:val="16"/>
              </w:rPr>
            </w:pPr>
            <w:r w:rsidRPr="00500949">
              <w:rPr>
                <w:rFonts w:ascii="Century Gothic" w:hAnsi="Century Gothic"/>
                <w:sz w:val="20"/>
                <w:szCs w:val="16"/>
              </w:rPr>
              <w:t>Oprogramowanie do automatycznego oznaczania kręgów kręgosłupa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1026E8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</w:rPr>
            </w:pPr>
            <w:r w:rsidRPr="00B569AC">
              <w:rPr>
                <w:rFonts w:ascii="Century Gothic" w:hAnsi="Century Gothic" w:cs="Arial Narrow"/>
                <w:strike/>
                <w:color w:val="FF0000"/>
                <w:sz w:val="16"/>
              </w:rPr>
              <w:t>Tak,</w:t>
            </w:r>
            <w:r w:rsidRPr="00B569AC">
              <w:rPr>
                <w:rFonts w:ascii="Century Gothic" w:hAnsi="Century Gothic" w:cs="Arial Narrow"/>
                <w:color w:val="FF0000"/>
                <w:sz w:val="16"/>
              </w:rPr>
              <w:t xml:space="preserve"> </w:t>
            </w:r>
            <w:r w:rsidRPr="001026E8">
              <w:rPr>
                <w:rFonts w:ascii="Century Gothic" w:hAnsi="Century Gothic" w:cs="Arial Narrow"/>
                <w:color w:val="000000"/>
                <w:sz w:val="16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1026E8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B569AC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  <w:p w:rsidR="00A4315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Tak – 2 pkt.,</w:t>
            </w:r>
          </w:p>
          <w:p w:rsidR="00A43152" w:rsidRPr="00B569AC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Nie – 0 pkt.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do automatycznego generowanie obrysu 3D kręgów kręgosłupa i tworzenia widoków MPR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46749A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</w:rPr>
            </w:pPr>
            <w:r w:rsidRPr="0046749A">
              <w:rPr>
                <w:rFonts w:ascii="Century Gothic" w:hAnsi="Century Gothic" w:cs="Arial Narrow"/>
                <w:color w:val="000000"/>
                <w:sz w:val="16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46749A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46749A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46749A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  <w:p w:rsidR="00A43152" w:rsidRPr="0046749A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46749A">
              <w:rPr>
                <w:rFonts w:ascii="Century Gothic" w:hAnsi="Century Gothic"/>
                <w:color w:val="FF0000"/>
                <w:sz w:val="16"/>
                <w:szCs w:val="20"/>
              </w:rPr>
              <w:t>Tak – 2 pkt.,</w:t>
            </w:r>
          </w:p>
          <w:p w:rsidR="00A43152" w:rsidRPr="0046749A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46749A">
              <w:rPr>
                <w:rFonts w:ascii="Century Gothic" w:hAnsi="Century Gothic"/>
                <w:color w:val="FF0000"/>
                <w:sz w:val="16"/>
                <w:szCs w:val="20"/>
              </w:rPr>
              <w:t>Nie – 0 pkt.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do automatycznego generowanie widoków skośnych, prostopadłych do trzonów kręgów i przestrzeni międzytrzonowych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Oprogramowanie z pkt. </w:t>
            </w:r>
            <w:r w:rsidRPr="002A2C81">
              <w:rPr>
                <w:rFonts w:ascii="Century Gothic" w:hAnsi="Century Gothic"/>
                <w:strike/>
                <w:color w:val="FF0000"/>
                <w:sz w:val="20"/>
                <w:szCs w:val="20"/>
              </w:rPr>
              <w:t>9 – 11</w:t>
            </w:r>
            <w:r w:rsidRPr="002A2C81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82 - 84  </w:t>
            </w:r>
            <w:r w:rsidRPr="002A2C81">
              <w:rPr>
                <w:rFonts w:ascii="Century Gothic" w:hAnsi="Century Gothic"/>
                <w:sz w:val="20"/>
                <w:szCs w:val="20"/>
              </w:rPr>
              <w:t>możliwe do stosowania w każdym rodzaju badania: urazowym, onkologicznym, badaniu samego kręgosłupa czy obrazowaniu ogólnym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Calibri"/>
                <w:color w:val="000000"/>
              </w:rPr>
            </w:pPr>
            <w:r w:rsidRPr="002A2C81">
              <w:rPr>
                <w:rFonts w:ascii="Century Gothic" w:hAnsi="Century Gothic" w:cs="Calibri"/>
                <w:color w:val="00000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Oprogramowanie z pkt. </w:t>
            </w:r>
            <w:r w:rsidRPr="002A2C81">
              <w:rPr>
                <w:rFonts w:ascii="Century Gothic" w:hAnsi="Century Gothic"/>
                <w:strike/>
                <w:color w:val="FF0000"/>
                <w:sz w:val="20"/>
                <w:szCs w:val="20"/>
              </w:rPr>
              <w:t>9 – 11</w:t>
            </w:r>
            <w:r w:rsidRPr="002A2C81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82 – 84 </w:t>
            </w:r>
            <w:r w:rsidRPr="002A2C81">
              <w:rPr>
                <w:rFonts w:ascii="Century Gothic" w:hAnsi="Century Gothic"/>
                <w:sz w:val="20"/>
                <w:szCs w:val="20"/>
              </w:rPr>
              <w:t>z funkcją ręcznego wstawiania, edytowania oraz usuwania etykiet trzonów kręgów według potrzeby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Calibri"/>
                <w:color w:val="000000"/>
              </w:rPr>
            </w:pPr>
            <w:r w:rsidRPr="002A2C81">
              <w:rPr>
                <w:rFonts w:ascii="Century Gothic" w:hAnsi="Century Gothic" w:cs="Calibri"/>
                <w:color w:val="00000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do angiografii CT umożliwiające automatyczną identyfikację i izolację zakontrastowanego naczynia z objętości badanej (rozwinięcie wzdłuż linii centralnej naczynia, z pomiarem średnicy, pola przekroju w płaszczyźnie prostopadłej do osi naczynia, automatyczne wyznaczanie stenozy)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Segmentacja zmian ogniskowych w narządach miąższowych umożliwiająca pomiar średnicy, objętości i gęstości zmiany oraz umożliwiające porównanie zmian ogniskowych bieżącego badania z poprzednim badaniem tego samego pacjenta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Oprogramowanie do automatycznej segmentacji 3D i oceny krwiaków w mózgu wraz z automatycznym obliczaniem objętości krwiaka oraz jego krótkiej i długiej osi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Tak,</w:t>
            </w:r>
            <w:r w:rsidRPr="002A2C81">
              <w:rPr>
                <w:rFonts w:ascii="Century Gothic" w:hAnsi="Century Gothic" w:cs="Arial Narrow"/>
                <w:color w:val="FF0000"/>
                <w:sz w:val="16"/>
                <w:szCs w:val="20"/>
              </w:rPr>
              <w:t xml:space="preserve"> </w:t>
            </w: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Tak – 2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Nie – 0 pkt.</w:t>
            </w:r>
          </w:p>
        </w:tc>
      </w:tr>
      <w:tr w:rsidR="00A43152" w:rsidRPr="002A2C81" w:rsidTr="008E026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667455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</w:rPr>
            </w:pPr>
            <w:r w:rsidRPr="00667455">
              <w:rPr>
                <w:rFonts w:ascii="Century Gothic" w:hAnsi="Century Gothic"/>
                <w:sz w:val="20"/>
              </w:rPr>
              <w:t xml:space="preserve">Oprogramowanie do segmentacji 3D i oceny </w:t>
            </w:r>
            <w:r w:rsidRPr="00667455">
              <w:rPr>
                <w:rFonts w:ascii="Century Gothic" w:hAnsi="Century Gothic"/>
                <w:sz w:val="20"/>
              </w:rPr>
              <w:lastRenderedPageBreak/>
              <w:t xml:space="preserve">tętniaków w mózgu wraz z </w:t>
            </w:r>
            <w:r w:rsidRPr="00667455">
              <w:rPr>
                <w:rFonts w:ascii="Century Gothic" w:hAnsi="Century Gothic"/>
                <w:strike/>
                <w:color w:val="FF0000"/>
                <w:sz w:val="20"/>
              </w:rPr>
              <w:t>automatycznym</w:t>
            </w:r>
            <w:r w:rsidRPr="00667455">
              <w:rPr>
                <w:rFonts w:ascii="Century Gothic" w:hAnsi="Century Gothic"/>
                <w:sz w:val="20"/>
              </w:rPr>
              <w:t xml:space="preserve"> obliczaniem objętości tętniaka, minimalnej i maksymalnej długości tętniaka oraz maksymalnej i minimalnej średnicy szyjki tętniaka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4069B2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</w:rPr>
            </w:pPr>
            <w:r w:rsidRPr="004069B2">
              <w:rPr>
                <w:rFonts w:ascii="Century Gothic" w:hAnsi="Century Gothic" w:cs="Arial Narrow"/>
                <w:color w:val="000000"/>
                <w:sz w:val="16"/>
              </w:rPr>
              <w:lastRenderedPageBreak/>
              <w:t xml:space="preserve">Tak, podać </w:t>
            </w:r>
            <w:r w:rsidRPr="004069B2">
              <w:rPr>
                <w:rFonts w:ascii="Century Gothic" w:hAnsi="Century Gothic" w:cs="Arial Narrow"/>
                <w:color w:val="000000"/>
                <w:sz w:val="16"/>
              </w:rPr>
              <w:lastRenderedPageBreak/>
              <w:t>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4069B2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020197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  <w:p w:rsidR="00A4315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lastRenderedPageBreak/>
              <w:t>Automatyczne obliczanie</w:t>
            </w:r>
            <w:r w:rsidRPr="00020197">
              <w:rPr>
                <w:rFonts w:ascii="Century Gothic" w:hAnsi="Century Gothic"/>
                <w:color w:val="FF0000"/>
                <w:sz w:val="16"/>
                <w:szCs w:val="20"/>
              </w:rPr>
              <w:t xml:space="preserve"> objętości tętniaka</w:t>
            </w:r>
            <w:r>
              <w:rPr>
                <w:rFonts w:ascii="Century Gothic" w:hAnsi="Century Gothic"/>
                <w:color w:val="FF0000"/>
                <w:sz w:val="16"/>
                <w:szCs w:val="20"/>
              </w:rPr>
              <w:t xml:space="preserve"> – 2 pkt.,</w:t>
            </w:r>
          </w:p>
          <w:p w:rsidR="00A43152" w:rsidRPr="00020197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Brak powyższej funkcjonalności – 0 pkt.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do oceny perfuzji mózgu umożliwiająca ocenę ilościową i jakościową (mapy barwne) co najmniej następujących parametrów: rBF (miejscowy przepływ krwi), rBV (miejscowa objętość krwi) oraz TTP (czas do szczytu krzywej wzmocnienia) lub MTT (średni czas przejścia)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Badania perfuzji mózgu oraz guzów mózgu z funkcją klasyfikacji tkankowej polegającej na segmentacji regionów niedokrwiennych mózgu na podstawie map przepływu i objętości krwi.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do perfuzji mózgu umożliwiające ocenę ilościową i jakościową (mapy barwne) parametru IRF T0 (opóźnienie napływu kontrastu).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Tak,</w:t>
            </w:r>
            <w:r w:rsidRPr="002A2C81">
              <w:rPr>
                <w:rFonts w:ascii="Century Gothic" w:hAnsi="Century Gothic" w:cs="Arial Narrow"/>
                <w:color w:val="FF0000"/>
                <w:sz w:val="16"/>
                <w:szCs w:val="20"/>
              </w:rPr>
              <w:t xml:space="preserve"> </w:t>
            </w: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Tak – 2 pkt.,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Nie – 0 pkt.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Wizualizacja map perfuzyjnych mózgowia w 3D i VRT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Tak,</w:t>
            </w:r>
            <w:r w:rsidRPr="002A2C81">
              <w:rPr>
                <w:rFonts w:ascii="Century Gothic" w:hAnsi="Century Gothic" w:cs="Arial Narrow"/>
                <w:color w:val="FF0000"/>
                <w:sz w:val="16"/>
                <w:szCs w:val="20"/>
              </w:rPr>
              <w:t xml:space="preserve"> </w:t>
            </w: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Tak – 2 pkt.,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16"/>
                <w:szCs w:val="20"/>
              </w:rPr>
              <w:t>Nie – 0 pkt.</w:t>
            </w:r>
          </w:p>
        </w:tc>
      </w:tr>
      <w:tr w:rsidR="00A43152" w:rsidRPr="002A2C81" w:rsidTr="008E026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500949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500949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Rozwiązanie nr 1</w:t>
            </w:r>
          </w:p>
          <w:p w:rsidR="00A43152" w:rsidRPr="00500949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00949">
              <w:rPr>
                <w:rFonts w:ascii="Century Gothic" w:hAnsi="Century Gothic"/>
                <w:sz w:val="20"/>
                <w:szCs w:val="20"/>
              </w:rPr>
              <w:t>Oprogramowanie do szybkiej diagnostyki udarów mózgu umożliwiające automatyczną fuzję obrazów poszczególnych faz napływu kontrastu i automatycznie pokazujące w różnych kolorach tętnicę, żyły i naczynia oboczne na sumarycznym obrazie.</w:t>
            </w:r>
          </w:p>
          <w:p w:rsidR="00A43152" w:rsidRPr="00500949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00949">
              <w:rPr>
                <w:rFonts w:ascii="Century Gothic" w:hAnsi="Century Gothic"/>
                <w:color w:val="FF0000"/>
                <w:sz w:val="20"/>
                <w:szCs w:val="20"/>
              </w:rPr>
              <w:t>lub</w:t>
            </w:r>
          </w:p>
          <w:p w:rsidR="00A43152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500949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Rozwiązanie nr 2</w:t>
            </w:r>
          </w:p>
          <w:p w:rsidR="00A43152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theme="minorHAnsi"/>
                <w:color w:val="FF0000"/>
                <w:sz w:val="20"/>
                <w:szCs w:val="20"/>
              </w:rPr>
            </w:pPr>
            <w:r w:rsidRPr="00500949">
              <w:rPr>
                <w:rFonts w:ascii="Century Gothic" w:hAnsi="Century Gothic" w:cstheme="minorHAnsi"/>
                <w:color w:val="FF0000"/>
                <w:sz w:val="20"/>
                <w:szCs w:val="20"/>
              </w:rPr>
              <w:t xml:space="preserve">Automatyczna ocena badań CT bez kontrastu </w:t>
            </w:r>
            <w:r w:rsidRPr="00500949">
              <w:rPr>
                <w:rFonts w:ascii="Century Gothic" w:hAnsi="Century Gothic" w:cstheme="minorHAnsi"/>
                <w:color w:val="FF0000"/>
                <w:sz w:val="20"/>
                <w:szCs w:val="20"/>
              </w:rPr>
              <w:lastRenderedPageBreak/>
              <w:t xml:space="preserve">(natywnych) wraz z określeniem parametru ASPECTS - Alberta Stroke Program Early CT Score umożliwiającego oszacowanie rozległości i zaawansowania strefy niedokrwienia.  Automatyczne generowanie pomiarów/map bez konieczności ręcznego otwierania badania na stacji lekarskiej, automatyczne wysyłanie pomiarów/map do systemu PACS oraz ich archiwizowania </w:t>
            </w:r>
          </w:p>
          <w:p w:rsidR="00A43152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>
              <w:rPr>
                <w:rFonts w:ascii="Century Gothic" w:hAnsi="Century Gothic"/>
                <w:color w:val="FF0000"/>
                <w:sz w:val="20"/>
                <w:szCs w:val="20"/>
              </w:rPr>
              <w:t>Lub</w:t>
            </w:r>
          </w:p>
          <w:p w:rsidR="00A43152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Rozwiązanie nr 3</w:t>
            </w:r>
          </w:p>
          <w:p w:rsidR="00A43152" w:rsidRPr="002F0E30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2F0E30">
              <w:rPr>
                <w:rFonts w:ascii="Century Gothic" w:hAnsi="Century Gothic"/>
                <w:color w:val="FF0000"/>
                <w:sz w:val="20"/>
                <w:szCs w:val="20"/>
              </w:rPr>
              <w:t>Oprogramowanie do szybkiej diagnostyki udarów mózgu umożliwiające automatyczną fuzję obrazów poszczególnych faz napływu kontrastu i automatycznie pokazujące w różnych ko</w:t>
            </w:r>
            <w:r>
              <w:rPr>
                <w:rFonts w:ascii="Century Gothic" w:hAnsi="Century Gothic"/>
                <w:color w:val="FF0000"/>
                <w:sz w:val="20"/>
                <w:szCs w:val="20"/>
              </w:rPr>
              <w:t>lorach tętnicę, żyły i naczynia.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2F0E30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  <w:p w:rsidR="00A4315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Rozwiązanie nr 1 – 3 pkt.</w:t>
            </w:r>
          </w:p>
          <w:p w:rsidR="00A4315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Rozwiązanie nr 2 – 0 pkt.</w:t>
            </w:r>
          </w:p>
          <w:p w:rsidR="00A43152" w:rsidRPr="002F0E30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Rozwiązanie nr 3 – 0 pkt.</w:t>
            </w:r>
          </w:p>
        </w:tc>
      </w:tr>
      <w:tr w:rsidR="00A43152" w:rsidRPr="002A2C81" w:rsidTr="008E026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F0E30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/>
                <w:sz w:val="20"/>
                <w:szCs w:val="20"/>
              </w:rPr>
            </w:pPr>
            <w:r w:rsidRPr="002F0E30">
              <w:rPr>
                <w:rFonts w:ascii="Century Gothic" w:hAnsi="Century Gothic"/>
                <w:sz w:val="20"/>
                <w:szCs w:val="20"/>
              </w:rPr>
              <w:t>Oprogramowanie do oceny perfuzji w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ą</w:t>
            </w:r>
            <w:r w:rsidRPr="002F0E30">
              <w:rPr>
                <w:rFonts w:ascii="Century Gothic" w:hAnsi="Century Gothic"/>
                <w:sz w:val="20"/>
                <w:szCs w:val="20"/>
              </w:rPr>
              <w:t>troby umo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ż</w:t>
            </w:r>
            <w:r w:rsidRPr="002F0E30">
              <w:rPr>
                <w:rFonts w:ascii="Century Gothic" w:hAnsi="Century Gothic"/>
                <w:sz w:val="20"/>
                <w:szCs w:val="20"/>
              </w:rPr>
              <w:t>liwiaj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ą</w:t>
            </w:r>
            <w:r w:rsidRPr="002F0E30">
              <w:rPr>
                <w:rFonts w:ascii="Century Gothic" w:hAnsi="Century Gothic"/>
                <w:sz w:val="20"/>
                <w:szCs w:val="20"/>
              </w:rPr>
              <w:t>ce ocen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ę</w:t>
            </w:r>
            <w:r w:rsidRPr="002F0E30">
              <w:rPr>
                <w:rFonts w:ascii="Century Gothic" w:hAnsi="Century Gothic"/>
                <w:sz w:val="20"/>
                <w:szCs w:val="20"/>
              </w:rPr>
              <w:t xml:space="preserve"> ilo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ś</w:t>
            </w:r>
            <w:r w:rsidRPr="002F0E30">
              <w:rPr>
                <w:rFonts w:ascii="Century Gothic" w:hAnsi="Century Gothic"/>
                <w:sz w:val="20"/>
                <w:szCs w:val="20"/>
              </w:rPr>
              <w:t>ciow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ą</w:t>
            </w:r>
            <w:r w:rsidRPr="002F0E30">
              <w:rPr>
                <w:rFonts w:ascii="Century Gothic" w:hAnsi="Century Gothic"/>
                <w:sz w:val="20"/>
                <w:szCs w:val="20"/>
              </w:rPr>
              <w:t xml:space="preserve"> i jako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ś</w:t>
            </w:r>
            <w:r w:rsidRPr="002F0E30">
              <w:rPr>
                <w:rFonts w:ascii="Century Gothic" w:hAnsi="Century Gothic"/>
                <w:sz w:val="20"/>
                <w:szCs w:val="20"/>
              </w:rPr>
              <w:t>ciow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ą</w:t>
            </w:r>
            <w:r w:rsidRPr="002F0E30">
              <w:rPr>
                <w:rFonts w:ascii="Century Gothic" w:hAnsi="Century Gothic"/>
                <w:sz w:val="20"/>
                <w:szCs w:val="20"/>
              </w:rPr>
              <w:t xml:space="preserve"> (mapy barwne) co najmniej nast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ę</w:t>
            </w:r>
            <w:r w:rsidRPr="002F0E30">
              <w:rPr>
                <w:rFonts w:ascii="Century Gothic" w:hAnsi="Century Gothic"/>
                <w:sz w:val="20"/>
                <w:szCs w:val="20"/>
              </w:rPr>
              <w:t>puj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ą</w:t>
            </w:r>
            <w:r w:rsidRPr="002F0E30">
              <w:rPr>
                <w:rFonts w:ascii="Century Gothic" w:hAnsi="Century Gothic"/>
                <w:sz w:val="20"/>
                <w:szCs w:val="20"/>
              </w:rPr>
              <w:t xml:space="preserve">cych parametrów: </w:t>
            </w:r>
          </w:p>
          <w:p w:rsidR="00A43152" w:rsidRPr="002F0E30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F0E30">
              <w:rPr>
                <w:rFonts w:ascii="Century Gothic" w:hAnsi="Century Gothic"/>
                <w:color w:val="FF0000"/>
                <w:sz w:val="20"/>
                <w:szCs w:val="20"/>
              </w:rPr>
              <w:t>Rozwiązanie nr 1</w:t>
            </w:r>
          </w:p>
          <w:p w:rsidR="00A43152" w:rsidRPr="002F0E30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/>
                <w:sz w:val="20"/>
                <w:szCs w:val="20"/>
              </w:rPr>
            </w:pPr>
            <w:r w:rsidRPr="002F0E30">
              <w:rPr>
                <w:rFonts w:ascii="Century Gothic" w:hAnsi="Century Gothic"/>
                <w:sz w:val="20"/>
                <w:szCs w:val="20"/>
              </w:rPr>
              <w:t>rBF (miejscowy przep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ł</w:t>
            </w:r>
            <w:r w:rsidRPr="002F0E30">
              <w:rPr>
                <w:rFonts w:ascii="Century Gothic" w:hAnsi="Century Gothic"/>
                <w:sz w:val="20"/>
                <w:szCs w:val="20"/>
              </w:rPr>
              <w:t>yw krwi), rBV (miejscowa obj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ę</w:t>
            </w:r>
            <w:r w:rsidRPr="002F0E30">
              <w:rPr>
                <w:rFonts w:ascii="Century Gothic" w:hAnsi="Century Gothic"/>
                <w:sz w:val="20"/>
                <w:szCs w:val="20"/>
              </w:rPr>
              <w:t>to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ść</w:t>
            </w:r>
            <w:r w:rsidRPr="002F0E30">
              <w:rPr>
                <w:rFonts w:ascii="Century Gothic" w:hAnsi="Century Gothic"/>
                <w:sz w:val="20"/>
                <w:szCs w:val="20"/>
              </w:rPr>
              <w:t xml:space="preserve"> krwi) oraz TTP (czas do szczytu krzywej wzmocnienia) lub MTT (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ś</w:t>
            </w:r>
            <w:r w:rsidRPr="002F0E30">
              <w:rPr>
                <w:rFonts w:ascii="Century Gothic" w:hAnsi="Century Gothic"/>
                <w:sz w:val="20"/>
                <w:szCs w:val="20"/>
              </w:rPr>
              <w:t>redni czas przej</w:t>
            </w:r>
            <w:r w:rsidRPr="002F0E30">
              <w:rPr>
                <w:rFonts w:ascii="Century Gothic" w:hAnsi="Century Gothic" w:hint="eastAsia"/>
                <w:sz w:val="20"/>
                <w:szCs w:val="20"/>
              </w:rPr>
              <w:t>ś</w:t>
            </w:r>
            <w:r w:rsidRPr="002F0E30">
              <w:rPr>
                <w:rFonts w:ascii="Century Gothic" w:hAnsi="Century Gothic"/>
                <w:sz w:val="20"/>
                <w:szCs w:val="20"/>
              </w:rPr>
              <w:t>cia)</w:t>
            </w:r>
          </w:p>
          <w:p w:rsidR="00A43152" w:rsidRPr="002F0E30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F0E30">
              <w:rPr>
                <w:rFonts w:ascii="Century Gothic" w:hAnsi="Century Gothic"/>
                <w:color w:val="FF0000"/>
                <w:sz w:val="20"/>
                <w:szCs w:val="20"/>
              </w:rPr>
              <w:t>lub</w:t>
            </w:r>
          </w:p>
          <w:p w:rsidR="00A43152" w:rsidRPr="002F0E30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F0E30">
              <w:rPr>
                <w:rFonts w:ascii="Century Gothic" w:hAnsi="Century Gothic"/>
                <w:color w:val="FF0000"/>
                <w:sz w:val="20"/>
                <w:szCs w:val="20"/>
              </w:rPr>
              <w:t>Rozwiązanie nr 2</w:t>
            </w:r>
          </w:p>
          <w:p w:rsidR="00A43152" w:rsidRPr="002F0E30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 w:cs="Arial Narrow"/>
                <w:color w:val="FF0000"/>
                <w:sz w:val="20"/>
                <w:szCs w:val="20"/>
              </w:rPr>
            </w:pPr>
            <w:r w:rsidRPr="002F0E30">
              <w:rPr>
                <w:rFonts w:ascii="Century Gothic" w:hAnsi="Century Gothic" w:cs="Arial Narrow"/>
                <w:color w:val="FF0000"/>
                <w:sz w:val="20"/>
                <w:szCs w:val="20"/>
              </w:rPr>
              <w:t xml:space="preserve">single input:  AF (Arterial Flow),  Equiv BV (Patlak) (Equivalent Blood Volume) Flow (Patlak) (usuwanie </w:t>
            </w:r>
            <w:r w:rsidRPr="002F0E30">
              <w:rPr>
                <w:rFonts w:ascii="Century Gothic" w:hAnsi="Century Gothic" w:cs="Arial Narrow" w:hint="eastAsia"/>
                <w:color w:val="FF0000"/>
                <w:sz w:val="20"/>
                <w:szCs w:val="20"/>
              </w:rPr>
              <w:t>ś</w:t>
            </w:r>
            <w:r w:rsidRPr="002F0E30">
              <w:rPr>
                <w:rFonts w:ascii="Century Gothic" w:hAnsi="Century Gothic" w:cs="Arial Narrow"/>
                <w:color w:val="FF0000"/>
                <w:sz w:val="20"/>
                <w:szCs w:val="20"/>
              </w:rPr>
              <w:t>rodka kontrastowego z tkanki)  oraz mapy dost</w:t>
            </w:r>
            <w:r w:rsidRPr="002F0E30">
              <w:rPr>
                <w:rFonts w:ascii="Century Gothic" w:hAnsi="Century Gothic" w:cs="Arial Narrow" w:hint="eastAsia"/>
                <w:color w:val="FF0000"/>
                <w:sz w:val="20"/>
                <w:szCs w:val="20"/>
              </w:rPr>
              <w:t>ę</w:t>
            </w:r>
            <w:r w:rsidRPr="002F0E30">
              <w:rPr>
                <w:rFonts w:ascii="Century Gothic" w:hAnsi="Century Gothic" w:cs="Arial Narrow"/>
                <w:color w:val="FF0000"/>
                <w:sz w:val="20"/>
                <w:szCs w:val="20"/>
              </w:rPr>
              <w:t xml:space="preserve">pne z tzw. dual input AF (Arterial Flow),  PF (Portal Flow), PI </w:t>
            </w:r>
            <w:r w:rsidRPr="002F0E30">
              <w:rPr>
                <w:rFonts w:ascii="Century Gothic" w:hAnsi="Century Gothic" w:cs="Arial Narrow"/>
                <w:color w:val="FF0000"/>
                <w:sz w:val="20"/>
                <w:szCs w:val="20"/>
              </w:rPr>
              <w:lastRenderedPageBreak/>
              <w:t>(Perfusion Index/ Indeks perfuzji ), ( hepatic perfusion – w</w:t>
            </w:r>
            <w:r w:rsidRPr="002F0E30">
              <w:rPr>
                <w:rFonts w:ascii="Century Gothic" w:hAnsi="Century Gothic" w:cs="Arial Narrow" w:hint="eastAsia"/>
                <w:color w:val="FF0000"/>
                <w:sz w:val="20"/>
                <w:szCs w:val="20"/>
              </w:rPr>
              <w:t>ą</w:t>
            </w:r>
            <w:r w:rsidRPr="002F0E30">
              <w:rPr>
                <w:rFonts w:ascii="Century Gothic" w:hAnsi="Century Gothic" w:cs="Arial Narrow"/>
                <w:color w:val="FF0000"/>
                <w:sz w:val="20"/>
                <w:szCs w:val="20"/>
              </w:rPr>
              <w:t>troba)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1026E8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</w:rPr>
            </w:pPr>
            <w:r w:rsidRPr="001026E8">
              <w:rPr>
                <w:rFonts w:ascii="Century Gothic" w:hAnsi="Century Gothic" w:cs="Arial Narrow"/>
                <w:color w:val="000000"/>
                <w:sz w:val="16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1026E8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1026E8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1026E8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Rozwiązanie nr 1</w:t>
            </w:r>
          </w:p>
          <w:p w:rsidR="00A43152" w:rsidRPr="002A2C81" w:rsidRDefault="00A43152" w:rsidP="00A43152">
            <w:pPr>
              <w:spacing w:before="20" w:after="20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Dedykowane, zorientowane tkankowo protokoły do oceny perfuzji następujących organów: nerek, śledziony, prostaty, kości itd. </w:t>
            </w:r>
          </w:p>
          <w:p w:rsidR="00A43152" w:rsidRPr="002A2C81" w:rsidRDefault="00A43152" w:rsidP="00A43152">
            <w:pPr>
              <w:spacing w:before="20" w:after="20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20"/>
                <w:szCs w:val="20"/>
              </w:rPr>
              <w:t>Lub</w:t>
            </w:r>
          </w:p>
          <w:p w:rsidR="00A43152" w:rsidRPr="002A2C81" w:rsidRDefault="00A43152" w:rsidP="00A43152">
            <w:pPr>
              <w:spacing w:before="20" w:after="20"/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Rozwiązanie nr 2</w:t>
            </w:r>
          </w:p>
          <w:p w:rsidR="00A43152" w:rsidRDefault="00A43152" w:rsidP="00A43152">
            <w:pPr>
              <w:spacing w:before="20" w:after="20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20"/>
                <w:szCs w:val="20"/>
              </w:rPr>
              <w:t>oprogramowanie serwera aplikacyjnego z dedykowanymi, zorientowanymi tkankowo protokołami do oceny perfuzji wątroby</w:t>
            </w:r>
          </w:p>
          <w:p w:rsidR="00A43152" w:rsidRPr="00D25DD9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/>
                <w:color w:val="FF0000"/>
                <w:sz w:val="20"/>
                <w:szCs w:val="16"/>
              </w:rPr>
            </w:pPr>
            <w:r w:rsidRPr="00D25DD9">
              <w:rPr>
                <w:rFonts w:ascii="Century Gothic" w:hAnsi="Century Gothic"/>
                <w:color w:val="FF0000"/>
                <w:sz w:val="20"/>
                <w:szCs w:val="16"/>
              </w:rPr>
              <w:t>lub</w:t>
            </w:r>
          </w:p>
          <w:p w:rsidR="00A43152" w:rsidRPr="00D25DD9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/>
                <w:b/>
                <w:color w:val="FF0000"/>
                <w:sz w:val="20"/>
                <w:szCs w:val="16"/>
              </w:rPr>
            </w:pPr>
            <w:r w:rsidRPr="00D25DD9">
              <w:rPr>
                <w:rFonts w:ascii="Century Gothic" w:hAnsi="Century Gothic"/>
                <w:b/>
                <w:color w:val="FF0000"/>
                <w:sz w:val="20"/>
                <w:szCs w:val="16"/>
              </w:rPr>
              <w:t>Rozwiązanie nr 3</w:t>
            </w:r>
          </w:p>
          <w:p w:rsidR="00A43152" w:rsidRPr="002A2C81" w:rsidRDefault="00A43152" w:rsidP="00A43152">
            <w:pPr>
              <w:spacing w:before="20" w:after="20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D25DD9">
              <w:rPr>
                <w:rFonts w:ascii="Century Gothic" w:hAnsi="Century Gothic" w:cs="Arial Narrow"/>
                <w:color w:val="FF0000"/>
                <w:sz w:val="20"/>
                <w:szCs w:val="16"/>
              </w:rPr>
              <w:t>Ocena perfuzji następujących organów: nerek, śledziony, prostaty, kości itd. za pomocą protokołu „Body”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FF0000"/>
                <w:sz w:val="20"/>
                <w:szCs w:val="20"/>
              </w:rPr>
              <w:t>Rozwiązanie nr 1 – 3 pkt.</w:t>
            </w:r>
          </w:p>
          <w:p w:rsidR="00A43152" w:rsidRPr="002F0E30" w:rsidRDefault="00A43152" w:rsidP="00A43152">
            <w:pPr>
              <w:spacing w:before="20" w:after="20"/>
              <w:rPr>
                <w:rFonts w:ascii="Century Gothic" w:hAnsi="Century Gothic"/>
                <w:color w:val="FF0000"/>
                <w:sz w:val="20"/>
                <w:szCs w:val="20"/>
              </w:rPr>
            </w:pPr>
            <w:r>
              <w:rPr>
                <w:rFonts w:ascii="Century Gothic" w:hAnsi="Century Gothic"/>
                <w:color w:val="FF0000"/>
                <w:sz w:val="20"/>
                <w:szCs w:val="20"/>
              </w:rPr>
              <w:t>Rozwiązanie nr 2 i 3 – 0 pkt.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do oceny zmian ogniskowych w płucach, z automatyczną identyfikacją zmian guzkowych w miąższu i przyopłucnowych przez program komputerowy, z możliwością zapamiętywania położenia zmian, oceną dynamiki wielkości zmian i rozróżnianiem charakteru guza (np. lity, częściowo lity, nie lity)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Specjalistyczne oprogramowanie do diagnostyki chorób płuc (m.in. COPD) umożliwiające obliczanie rozedmy  i analizę dróg oddechowych.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F0E30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 w:cs="Arial Narrow"/>
                <w:color w:val="000000"/>
                <w:sz w:val="20"/>
                <w:szCs w:val="16"/>
              </w:rPr>
            </w:pPr>
            <w:r w:rsidRPr="002F0E30">
              <w:rPr>
                <w:rFonts w:ascii="Century Gothic" w:hAnsi="Century Gothic"/>
                <w:strike/>
                <w:color w:val="FF0000"/>
                <w:sz w:val="20"/>
                <w:szCs w:val="16"/>
              </w:rPr>
              <w:t>Segmentacja wszystkich pi</w:t>
            </w:r>
            <w:r w:rsidRPr="002F0E30">
              <w:rPr>
                <w:rFonts w:ascii="Century Gothic" w:hAnsi="Century Gothic" w:hint="eastAsia"/>
                <w:strike/>
                <w:color w:val="FF0000"/>
                <w:sz w:val="20"/>
                <w:szCs w:val="16"/>
              </w:rPr>
              <w:t>ę</w:t>
            </w:r>
            <w:r w:rsidRPr="002F0E30">
              <w:rPr>
                <w:rFonts w:ascii="Century Gothic" w:hAnsi="Century Gothic"/>
                <w:strike/>
                <w:color w:val="FF0000"/>
                <w:sz w:val="20"/>
                <w:szCs w:val="16"/>
              </w:rPr>
              <w:t>ciu p</w:t>
            </w:r>
            <w:r w:rsidRPr="002F0E30">
              <w:rPr>
                <w:rFonts w:ascii="Century Gothic" w:hAnsi="Century Gothic" w:hint="eastAsia"/>
                <w:strike/>
                <w:color w:val="FF0000"/>
                <w:sz w:val="20"/>
                <w:szCs w:val="16"/>
              </w:rPr>
              <w:t>ł</w:t>
            </w:r>
            <w:r w:rsidRPr="002F0E30">
              <w:rPr>
                <w:rFonts w:ascii="Century Gothic" w:hAnsi="Century Gothic"/>
                <w:strike/>
                <w:color w:val="FF0000"/>
                <w:sz w:val="20"/>
                <w:szCs w:val="16"/>
              </w:rPr>
              <w:t>atów p</w:t>
            </w:r>
            <w:r w:rsidRPr="002F0E30">
              <w:rPr>
                <w:rFonts w:ascii="Century Gothic" w:hAnsi="Century Gothic" w:hint="eastAsia"/>
                <w:strike/>
                <w:color w:val="FF0000"/>
                <w:sz w:val="20"/>
                <w:szCs w:val="16"/>
              </w:rPr>
              <w:t>ł</w:t>
            </w:r>
            <w:r w:rsidRPr="002F0E30">
              <w:rPr>
                <w:rFonts w:ascii="Century Gothic" w:hAnsi="Century Gothic"/>
                <w:strike/>
                <w:color w:val="FF0000"/>
                <w:sz w:val="20"/>
                <w:szCs w:val="16"/>
              </w:rPr>
              <w:t>uc i</w:t>
            </w:r>
            <w:r w:rsidRPr="002F0E30">
              <w:rPr>
                <w:rFonts w:ascii="Century Gothic" w:hAnsi="Century Gothic"/>
                <w:color w:val="FF0000"/>
                <w:sz w:val="20"/>
                <w:szCs w:val="16"/>
              </w:rPr>
              <w:t xml:space="preserve"> </w:t>
            </w:r>
            <w:r w:rsidRPr="002F0E30">
              <w:rPr>
                <w:rFonts w:ascii="Century Gothic" w:hAnsi="Century Gothic"/>
                <w:sz w:val="20"/>
                <w:szCs w:val="16"/>
              </w:rPr>
              <w:t>automatyczne obliczanie rozedmy w poszczególnych p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ł</w:t>
            </w:r>
            <w:r w:rsidRPr="002F0E30">
              <w:rPr>
                <w:rFonts w:ascii="Century Gothic" w:hAnsi="Century Gothic"/>
                <w:sz w:val="20"/>
                <w:szCs w:val="16"/>
              </w:rPr>
              <w:t>atach p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ł</w:t>
            </w:r>
            <w:r w:rsidRPr="002F0E30">
              <w:rPr>
                <w:rFonts w:ascii="Century Gothic" w:hAnsi="Century Gothic"/>
                <w:sz w:val="20"/>
                <w:szCs w:val="16"/>
              </w:rPr>
              <w:t>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1026E8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</w:rPr>
            </w:pPr>
            <w:r w:rsidRPr="001026E8">
              <w:rPr>
                <w:rFonts w:ascii="Century Gothic" w:hAnsi="Century Gothic" w:cs="Arial Narrow"/>
                <w:color w:val="000000"/>
                <w:sz w:val="16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1026E8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0D00B2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  <w:p w:rsidR="00A4315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0D00B2">
              <w:rPr>
                <w:rFonts w:ascii="Century Gothic" w:hAnsi="Century Gothic"/>
                <w:color w:val="FF0000"/>
                <w:sz w:val="16"/>
                <w:szCs w:val="20"/>
              </w:rPr>
              <w:t>Segmentacja wszystkich pi</w:t>
            </w:r>
            <w:r w:rsidRPr="000D00B2">
              <w:rPr>
                <w:rFonts w:ascii="Calibri" w:hAnsi="Calibri" w:cs="Calibri"/>
                <w:color w:val="FF0000"/>
                <w:sz w:val="16"/>
                <w:szCs w:val="20"/>
              </w:rPr>
              <w:t>ę</w:t>
            </w:r>
            <w:r w:rsidRPr="000D00B2">
              <w:rPr>
                <w:rFonts w:ascii="Century Gothic" w:hAnsi="Century Gothic"/>
                <w:color w:val="FF0000"/>
                <w:sz w:val="16"/>
                <w:szCs w:val="20"/>
              </w:rPr>
              <w:t>ciu p</w:t>
            </w:r>
            <w:r w:rsidRPr="000D00B2">
              <w:rPr>
                <w:rFonts w:ascii="Century Gothic" w:hAnsi="Century Gothic" w:hint="eastAsia"/>
                <w:color w:val="FF0000"/>
                <w:sz w:val="16"/>
                <w:szCs w:val="20"/>
              </w:rPr>
              <w:t>ł</w:t>
            </w:r>
            <w:r w:rsidRPr="000D00B2">
              <w:rPr>
                <w:rFonts w:ascii="Century Gothic" w:hAnsi="Century Gothic"/>
                <w:color w:val="FF0000"/>
                <w:sz w:val="16"/>
                <w:szCs w:val="20"/>
              </w:rPr>
              <w:t>atów p</w:t>
            </w:r>
            <w:r w:rsidRPr="000D00B2">
              <w:rPr>
                <w:rFonts w:ascii="Century Gothic" w:hAnsi="Century Gothic" w:hint="eastAsia"/>
                <w:color w:val="FF0000"/>
                <w:sz w:val="16"/>
                <w:szCs w:val="20"/>
              </w:rPr>
              <w:t>ł</w:t>
            </w:r>
            <w:r>
              <w:rPr>
                <w:rFonts w:ascii="Century Gothic" w:hAnsi="Century Gothic"/>
                <w:color w:val="FF0000"/>
                <w:sz w:val="16"/>
                <w:szCs w:val="20"/>
              </w:rPr>
              <w:t>uc – 2 pkt.</w:t>
            </w:r>
          </w:p>
          <w:p w:rsidR="00A4315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16"/>
              </w:rPr>
              <w:t xml:space="preserve">brak powyższej funkcjonalności – </w:t>
            </w:r>
            <w:r>
              <w:rPr>
                <w:rFonts w:ascii="Century Gothic" w:hAnsi="Century Gothic"/>
                <w:color w:val="FF0000"/>
                <w:sz w:val="16"/>
                <w:szCs w:val="16"/>
              </w:rPr>
              <w:lastRenderedPageBreak/>
              <w:t>0 pkt.</w:t>
            </w:r>
          </w:p>
          <w:p w:rsidR="00A43152" w:rsidRPr="000D00B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F0E30" w:rsidRDefault="00A43152" w:rsidP="00A43152">
            <w:pPr>
              <w:snapToGrid w:val="0"/>
              <w:spacing w:before="20" w:after="20" w:line="276" w:lineRule="auto"/>
              <w:rPr>
                <w:rFonts w:ascii="Century Gothic" w:hAnsi="Century Gothic"/>
                <w:sz w:val="20"/>
                <w:szCs w:val="16"/>
              </w:rPr>
            </w:pPr>
            <w:r w:rsidRPr="002F0E30">
              <w:rPr>
                <w:rFonts w:ascii="Century Gothic" w:hAnsi="Century Gothic"/>
                <w:sz w:val="20"/>
                <w:szCs w:val="16"/>
              </w:rPr>
              <w:t>Oprogramowanie umo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ż</w:t>
            </w:r>
            <w:r w:rsidRPr="002F0E30">
              <w:rPr>
                <w:rFonts w:ascii="Century Gothic" w:hAnsi="Century Gothic"/>
                <w:sz w:val="20"/>
                <w:szCs w:val="16"/>
              </w:rPr>
              <w:t>liwiaj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ą</w:t>
            </w:r>
            <w:r w:rsidRPr="002F0E30">
              <w:rPr>
                <w:rFonts w:ascii="Century Gothic" w:hAnsi="Century Gothic"/>
                <w:sz w:val="20"/>
                <w:szCs w:val="16"/>
              </w:rPr>
              <w:t>ce za pomoc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ą</w:t>
            </w:r>
            <w:r w:rsidRPr="002F0E30">
              <w:rPr>
                <w:rFonts w:ascii="Century Gothic" w:hAnsi="Century Gothic"/>
                <w:sz w:val="20"/>
                <w:szCs w:val="16"/>
              </w:rPr>
              <w:t xml:space="preserve"> jednego klikni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ę</w:t>
            </w:r>
            <w:r w:rsidRPr="002F0E30">
              <w:rPr>
                <w:rFonts w:ascii="Century Gothic" w:hAnsi="Century Gothic"/>
                <w:sz w:val="20"/>
                <w:szCs w:val="16"/>
              </w:rPr>
              <w:t>cia dokonanie pomiarów grubo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ś</w:t>
            </w:r>
            <w:r w:rsidRPr="002F0E30">
              <w:rPr>
                <w:rFonts w:ascii="Century Gothic" w:hAnsi="Century Gothic"/>
                <w:sz w:val="20"/>
                <w:szCs w:val="16"/>
              </w:rPr>
              <w:t xml:space="preserve">ci 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ś</w:t>
            </w:r>
            <w:r w:rsidRPr="002F0E30">
              <w:rPr>
                <w:rFonts w:ascii="Century Gothic" w:hAnsi="Century Gothic"/>
                <w:sz w:val="20"/>
                <w:szCs w:val="16"/>
              </w:rPr>
              <w:t xml:space="preserve">cian poszczególnych dróg oddechowych oraz 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ś</w:t>
            </w:r>
            <w:r w:rsidRPr="002F0E30">
              <w:rPr>
                <w:rFonts w:ascii="Century Gothic" w:hAnsi="Century Gothic"/>
                <w:sz w:val="20"/>
                <w:szCs w:val="16"/>
              </w:rPr>
              <w:t xml:space="preserve">rednicy ich 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ś</w:t>
            </w:r>
            <w:r w:rsidRPr="002F0E30">
              <w:rPr>
                <w:rFonts w:ascii="Century Gothic" w:hAnsi="Century Gothic"/>
                <w:sz w:val="20"/>
                <w:szCs w:val="16"/>
              </w:rPr>
              <w:t>wiat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ł</w:t>
            </w:r>
            <w:r w:rsidRPr="002F0E30">
              <w:rPr>
                <w:rFonts w:ascii="Century Gothic" w:hAnsi="Century Gothic"/>
                <w:sz w:val="20"/>
                <w:szCs w:val="16"/>
              </w:rPr>
              <w:t>a wraz z prezentacj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ą</w:t>
            </w:r>
            <w:r w:rsidRPr="002F0E30">
              <w:rPr>
                <w:rFonts w:ascii="Century Gothic" w:hAnsi="Century Gothic"/>
                <w:sz w:val="20"/>
                <w:szCs w:val="16"/>
              </w:rPr>
              <w:t xml:space="preserve"> zewn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ę</w:t>
            </w:r>
            <w:r w:rsidRPr="002F0E30">
              <w:rPr>
                <w:rFonts w:ascii="Century Gothic" w:hAnsi="Century Gothic"/>
                <w:sz w:val="20"/>
                <w:szCs w:val="16"/>
              </w:rPr>
              <w:t>trznych i wewn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ę</w:t>
            </w:r>
            <w:r w:rsidRPr="002F0E30">
              <w:rPr>
                <w:rFonts w:ascii="Century Gothic" w:hAnsi="Century Gothic"/>
                <w:sz w:val="20"/>
                <w:szCs w:val="16"/>
              </w:rPr>
              <w:t xml:space="preserve">trznych konturów tych </w:t>
            </w:r>
            <w:r w:rsidRPr="002F0E30">
              <w:rPr>
                <w:rFonts w:ascii="Century Gothic" w:hAnsi="Century Gothic" w:hint="eastAsia"/>
                <w:sz w:val="20"/>
                <w:szCs w:val="16"/>
              </w:rPr>
              <w:t>ś</w:t>
            </w:r>
            <w:r w:rsidRPr="002F0E30">
              <w:rPr>
                <w:rFonts w:ascii="Century Gothic" w:hAnsi="Century Gothic"/>
                <w:sz w:val="20"/>
                <w:szCs w:val="16"/>
              </w:rPr>
              <w:t>cian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1026E8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</w:rPr>
            </w:pPr>
            <w:r w:rsidRPr="008A4C0C">
              <w:rPr>
                <w:rFonts w:ascii="Century Gothic" w:hAnsi="Century Gothic" w:cs="Arial Narrow"/>
                <w:strike/>
                <w:color w:val="FF0000"/>
                <w:sz w:val="16"/>
              </w:rPr>
              <w:t>Tak,</w:t>
            </w:r>
            <w:r w:rsidRPr="008A4C0C">
              <w:rPr>
                <w:rFonts w:ascii="Century Gothic" w:hAnsi="Century Gothic" w:cs="Arial Narrow"/>
                <w:color w:val="FF0000"/>
                <w:sz w:val="16"/>
              </w:rPr>
              <w:t xml:space="preserve"> </w:t>
            </w:r>
            <w:r w:rsidRPr="001026E8">
              <w:rPr>
                <w:rFonts w:ascii="Century Gothic" w:hAnsi="Century Gothic" w:cs="Arial Narrow"/>
                <w:color w:val="000000"/>
                <w:sz w:val="16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1026E8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8A4C0C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  <w:p w:rsidR="00A4315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Tak – 2 pkt.,</w:t>
            </w:r>
          </w:p>
          <w:p w:rsidR="00A43152" w:rsidRPr="008A4C0C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Nie – 0 pkt.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Oprogramowanie do oceny zwapnień naczyń wieńcowych typu Calcium Score </w:t>
            </w:r>
            <w:r w:rsidRPr="002A2C81">
              <w:rPr>
                <w:rFonts w:ascii="Century Gothic" w:hAnsi="Century Gothic"/>
                <w:b/>
                <w:sz w:val="20"/>
                <w:szCs w:val="20"/>
                <w:u w:val="single"/>
              </w:rPr>
              <w:t>lub równoważny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umożliwiające badanie naczyń wieńcowych (automatyczne odrzucanie tkanek otaczających serce, automatyczna wizualizacja całego wybranego naczynia wieńcowego – przekroje poprzeczne, przekroje podłużne, przebieg naczynia, wyznaczanie stenozy).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pozwalające 1-kliknięciem na wyodrębnianie, renderowanie i wyświetlanie obrazów 2D/3D drzewa naczyń wieńcowych z automatycznym śledzeniem naczyń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do przetwarzania obrazów, służący do oceny morfologii serca, żywotności tętnic wieńcowych, perfuzji względnej, drożności przeszczepów naczyniowych omijających, przeprowadzania badań kontrolnych po interwencjach i oceny czynnościowej.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zaznaczające kolorem obszary hypoperfuzyjne, umożliwiające wykrywanie choroby niedokrwiennej serca.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Oprogramowanie do automatycznego reformatowania standardowych osiowych obrazów TK jednej lub kilku faz cyklu pracy serca w widokach </w:t>
            </w:r>
            <w:r w:rsidRPr="002A2C81">
              <w:rPr>
                <w:rFonts w:ascii="Century Gothic" w:hAnsi="Century Gothic"/>
                <w:sz w:val="20"/>
                <w:szCs w:val="20"/>
              </w:rPr>
              <w:lastRenderedPageBreak/>
              <w:t>osi krótkiej, długiej i długiej na dwie jamy serca w celu ułatwienia przeglądu.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do przeprowadzania 1- kliknięciem ocen czynności serca na sekwencjach Cine obejmujących obrazy wielu faz cyklu pracy serca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określające wartości HU składników płytki miażdżycowej i tworzące mapę barwną z możliwością dostosowania kolorów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pozwalające uzyskać z 1-klikniecia widok angiograficzny, ukazujący obraz drzewa naczyń wieńcowych i mięśnia sercowego z automatycznym usunięciem jam serca w celu wyświetlenia widoku porównawczego na potrzeby cewnikowania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do tworzenia przezroczystego modelu serca i umożliwiające wizualizację tętnic wieńcowych względem jam serca, z możliwością stopniowego usuwania jam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4069B2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</w:rPr>
            </w:pPr>
            <w:r w:rsidRPr="004069B2">
              <w:rPr>
                <w:rFonts w:ascii="Century Gothic" w:hAnsi="Century Gothic" w:cs="Arial Narrow"/>
                <w:strike/>
                <w:color w:val="FF0000"/>
                <w:sz w:val="16"/>
              </w:rPr>
              <w:t>Tak,</w:t>
            </w:r>
            <w:r w:rsidRPr="004069B2">
              <w:rPr>
                <w:rFonts w:ascii="Century Gothic" w:hAnsi="Century Gothic" w:cs="Arial Narrow"/>
                <w:color w:val="FF0000"/>
                <w:sz w:val="16"/>
              </w:rPr>
              <w:t xml:space="preserve"> </w:t>
            </w:r>
            <w:r w:rsidRPr="004069B2">
              <w:rPr>
                <w:rFonts w:ascii="Century Gothic" w:hAnsi="Century Gothic" w:cs="Arial Narrow"/>
                <w:color w:val="000000"/>
                <w:sz w:val="16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4069B2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4069B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4069B2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  <w:p w:rsidR="00A43152" w:rsidRPr="004069B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4069B2">
              <w:rPr>
                <w:rFonts w:ascii="Century Gothic" w:hAnsi="Century Gothic"/>
                <w:color w:val="FF0000"/>
                <w:sz w:val="16"/>
                <w:szCs w:val="20"/>
              </w:rPr>
              <w:t>Tak – 2 pkt.,</w:t>
            </w:r>
          </w:p>
          <w:p w:rsidR="00A43152" w:rsidRPr="004069B2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4069B2">
              <w:rPr>
                <w:rFonts w:ascii="Century Gothic" w:hAnsi="Century Gothic"/>
                <w:color w:val="FF0000"/>
                <w:sz w:val="16"/>
                <w:szCs w:val="20"/>
              </w:rPr>
              <w:t xml:space="preserve">Nie – 0 pkt. 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Oprogramowanie wyświetlające </w:t>
            </w:r>
            <w:r w:rsidRPr="002A2C81">
              <w:rPr>
                <w:rFonts w:ascii="Century Gothic" w:hAnsi="Century Gothic"/>
                <w:strike/>
                <w:color w:val="FF0000"/>
                <w:sz w:val="20"/>
                <w:szCs w:val="20"/>
              </w:rPr>
              <w:t xml:space="preserve">z 1-klikniecia </w:t>
            </w:r>
            <w:r w:rsidRPr="002A2C81">
              <w:rPr>
                <w:rFonts w:ascii="Century Gothic" w:hAnsi="Century Gothic"/>
                <w:sz w:val="20"/>
                <w:szCs w:val="20"/>
              </w:rPr>
              <w:t>widoki 4D zastawki aorty i zastawki mitralnej.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do automatycznego wyodrębniania lewej komory z wyborem ES i ED do pomiarów frakcji wyrzutowej i objętości.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do tworzenia reformatów ukośnych pozwalających uzyskać widoki pod standardowymi kątami cewnikowania w celu ułatwienia analizy naczyń wieńcowych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Oprogramowanie do rejestrowania obrazów z różnych faz cyklu pracy serca do unikatowego połączonego zestawu danych, który można zapisać </w:t>
            </w:r>
            <w:r w:rsidRPr="002A2C81">
              <w:rPr>
                <w:rFonts w:ascii="Century Gothic" w:hAnsi="Century Gothic"/>
                <w:sz w:val="20"/>
                <w:szCs w:val="20"/>
              </w:rPr>
              <w:lastRenderedPageBreak/>
              <w:t>jako obiekt 3D lub wykorzystać do dalszej analizy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Możliwość uwidocznienia tętnic wieńcowych w prezentacji typu IVUS (wewnątrznaczyniowe badanie ultrasonograficzne) z oceną morfologii i lokalizacji blaszki miażdżycowej.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do kolonografii i kolonoskopii TK, umożliwiające w pełni swobodne poruszanie się w obrębie jelita, umożliwiające jednoczesną prezentację wnętrza jelita i projekcji przekrojów w trzech głównych płaszczyznach. Interaktywna zmiana położenia kursora we wszystkich oknach wymienionych w punkcie powyżej. Automatyczna detekcja polipów w obrębie jelita grubego.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do automatycznej wirtualnej dysekcji jelita grubego i prezentacji w postaci jednej wstęgi rozłożonej na płaszczyźnie.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Automatyczne oznaczanie i usuwanie obrazu resztek kałowych z obrazu jelita.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Jednoczesne automatyczne porównanie kilku zestawów danych tego samego pacjenta (np.: porównania badań wykonanych w tym samym dniu w różnych fazach lub porównanie badań wykonanych w znaczącym odstępie czasowym) z możliwością synchronizacji przestrzennej oraz możliwością powiązania i oceny zmian tych samych obszarów anatomicznych w czasie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Oprogramowanie do automatycznej segmentacji zmian ogniskowych z automatycznym wyznaczaniem parametrów: max średnicy, objętości, średniej gęstości wraz z odchyleniem standardowym zgodnie z kryteriami WHO, RECIST1.0, RECIST1.1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 xml:space="preserve">Tworzenie własnych kryteriów onkologicznych oceny zmian ogniskowych </w:t>
            </w:r>
            <w:r w:rsidRPr="002A2C81">
              <w:rPr>
                <w:rFonts w:ascii="Century Gothic" w:hAnsi="Century Gothic"/>
                <w:color w:val="FF0000"/>
                <w:sz w:val="20"/>
                <w:szCs w:val="20"/>
              </w:rPr>
              <w:t>lub stworzenie przez Wykonawcę kryteriów na zlecenie zamawiającego w dowolnym momencie trwania umowy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4A4B61" w:rsidRDefault="00A43152" w:rsidP="00A43152">
            <w:pPr>
              <w:spacing w:before="20" w:after="20"/>
              <w:jc w:val="both"/>
              <w:rPr>
                <w:rFonts w:ascii="Century Gothic" w:hAnsi="Century Gothic"/>
                <w:iCs/>
                <w:sz w:val="20"/>
                <w:szCs w:val="16"/>
              </w:rPr>
            </w:pPr>
            <w:r w:rsidRPr="004A4B61">
              <w:rPr>
                <w:rFonts w:ascii="Century Gothic" w:hAnsi="Century Gothic"/>
                <w:iCs/>
                <w:sz w:val="20"/>
                <w:szCs w:val="16"/>
              </w:rPr>
              <w:t xml:space="preserve">Oprogramowanie do automatycznej fuzji obrazów różnych energii oraz obrazów z różnych systemów diagnostycznych: CT/MR, </w:t>
            </w:r>
            <w:r w:rsidRPr="004A4B61">
              <w:rPr>
                <w:rFonts w:ascii="Century Gothic" w:hAnsi="Century Gothic"/>
                <w:iCs/>
                <w:strike/>
                <w:color w:val="FF0000"/>
                <w:sz w:val="20"/>
                <w:szCs w:val="16"/>
              </w:rPr>
              <w:t>CT/PET, CT/SPECT, itp.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9409D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29409D">
              <w:rPr>
                <w:rFonts w:ascii="Century Gothic" w:hAnsi="Century Gothic"/>
                <w:iCs/>
                <w:sz w:val="16"/>
                <w:szCs w:val="16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9409D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eastAsia="Times New Roman" w:hAnsi="Century Gothic" w:cs="Times New Roman"/>
                <w:iCs/>
                <w:color w:val="auto"/>
                <w:kern w:val="0"/>
                <w:sz w:val="16"/>
                <w:szCs w:val="16"/>
                <w:lang w:eastAsia="pl-PL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9409D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eastAsia="Times New Roman" w:hAnsi="Century Gothic" w:cs="Times New Roman"/>
                <w:iCs/>
                <w:color w:val="auto"/>
                <w:kern w:val="0"/>
                <w:sz w:val="16"/>
                <w:szCs w:val="16"/>
                <w:lang w:eastAsia="pl-PL" w:bidi="ar-SA"/>
              </w:rPr>
            </w:pPr>
            <w:r w:rsidRPr="0029409D">
              <w:rPr>
                <w:rFonts w:ascii="Century Gothic" w:eastAsia="Times New Roman" w:hAnsi="Century Gothic" w:cs="Times New Roman"/>
                <w:iCs/>
                <w:color w:val="auto"/>
                <w:kern w:val="0"/>
                <w:sz w:val="16"/>
                <w:szCs w:val="16"/>
                <w:lang w:eastAsia="pl-PL" w:bidi="ar-SA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15"/>
              </w:numPr>
              <w:spacing w:before="20" w:after="20"/>
              <w:ind w:left="473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Normal9pt"/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Wstrzykiwacz kontrastu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ind w:left="360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entury Gothic" w:hAnsi="Century Gothic" w:cstheme="minorHAnsi"/>
                <w:color w:val="0000FF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sz w:val="20"/>
                <w:szCs w:val="20"/>
              </w:rPr>
              <w:t xml:space="preserve">Automatyczny bezwkładowy wstrzykiwacz kontrastu współpracujący z materiałami zużywalnymi o sterylności przez </w:t>
            </w:r>
            <w:r w:rsidRPr="002A2C81">
              <w:rPr>
                <w:rFonts w:ascii="Century Gothic" w:hAnsi="Century Gothic" w:cstheme="minorHAnsi"/>
                <w:color w:val="FF0000"/>
                <w:sz w:val="20"/>
                <w:szCs w:val="20"/>
              </w:rPr>
              <w:t xml:space="preserve">min. </w:t>
            </w:r>
            <w:r w:rsidRPr="002A2C81">
              <w:rPr>
                <w:rFonts w:ascii="Century Gothic" w:hAnsi="Century Gothic" w:cstheme="minorHAnsi"/>
                <w:sz w:val="20"/>
                <w:szCs w:val="20"/>
              </w:rPr>
              <w:t>24 godziny, z wykorzystaniem</w:t>
            </w:r>
            <w:r w:rsidRPr="002A2C81">
              <w:rPr>
                <w:rFonts w:ascii="Century Gothic" w:hAnsi="Century Gothic" w:cstheme="minorHAnsi"/>
                <w:color w:val="FF0000"/>
                <w:sz w:val="20"/>
                <w:szCs w:val="20"/>
              </w:rPr>
              <w:t>:</w:t>
            </w:r>
          </w:p>
          <w:p w:rsidR="00A43152" w:rsidRPr="002A2C81" w:rsidRDefault="00A43152" w:rsidP="00A431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  <w:t>Rozwiązanie nr 1</w:t>
            </w:r>
          </w:p>
          <w:p w:rsidR="00A43152" w:rsidRPr="002A2C81" w:rsidRDefault="00A43152" w:rsidP="00A431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entury Gothic" w:hAnsi="Century Gothic" w:cstheme="minorHAnsi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sz w:val="20"/>
                <w:szCs w:val="20"/>
              </w:rPr>
              <w:t xml:space="preserve">wyłącznie materiałów eksploatacyjnych nie zawierających związków DEHP (ftalanydietylohekylu) </w:t>
            </w:r>
          </w:p>
          <w:p w:rsidR="00A43152" w:rsidRPr="002A2C81" w:rsidRDefault="00A43152" w:rsidP="00A431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entury Gothic" w:hAnsi="Century Gothic" w:cstheme="minorHAnsi"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color w:val="FF0000"/>
                <w:sz w:val="20"/>
                <w:szCs w:val="20"/>
              </w:rPr>
              <w:t xml:space="preserve">lub </w:t>
            </w:r>
          </w:p>
          <w:p w:rsidR="00A43152" w:rsidRPr="002A2C81" w:rsidRDefault="00A43152" w:rsidP="00A431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  <w:t>Rozwiązanie nr 2</w:t>
            </w:r>
          </w:p>
          <w:p w:rsidR="00A43152" w:rsidRPr="002A2C81" w:rsidRDefault="00A43152" w:rsidP="00A431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entury Gothic" w:hAnsi="Century Gothic" w:cstheme="minorHAnsi"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color w:val="FF0000"/>
                <w:sz w:val="20"/>
                <w:szCs w:val="20"/>
              </w:rPr>
              <w:t>materiałów eksploatacyjnych dopuszczonych do obrotu na terenie EU, oraz umożliwiające pracę z materiałami o certyfikowanej sterylności - podać nr certyfikatu.”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auto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uppressAutoHyphens/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  <w:t>Rozwiązanie nr 1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sz w:val="20"/>
                <w:szCs w:val="20"/>
              </w:rPr>
              <w:t xml:space="preserve">Sterowanie dostarczonym wstrzykiwaczem bezpośrednio z konsoli tomografu komputerowego, w tym możliwość programowania i zapamiętywania parametrów wstrzykiwacza bezpośrednio w protokole badania TK na konsoli operatorskiej - </w:t>
            </w:r>
            <w:r w:rsidRPr="002A2C81"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sprzężenie tomografu z oferowanym wstrzykiwaczem min. kl. </w:t>
            </w:r>
            <w:r w:rsidRPr="002A2C81">
              <w:rPr>
                <w:rFonts w:ascii="Century Gothic" w:hAnsi="Century Gothic" w:cs="Arial"/>
                <w:color w:val="FF0000"/>
                <w:sz w:val="20"/>
                <w:szCs w:val="20"/>
              </w:rPr>
              <w:t xml:space="preserve">I </w:t>
            </w:r>
            <w:r w:rsidRPr="002A2C81">
              <w:rPr>
                <w:rFonts w:ascii="Century Gothic" w:hAnsi="Century Gothic" w:cs="Arial"/>
                <w:sz w:val="20"/>
                <w:szCs w:val="20"/>
              </w:rPr>
              <w:t>zgodnie z CiA 425</w:t>
            </w:r>
          </w:p>
          <w:p w:rsidR="00A43152" w:rsidRPr="002A2C81" w:rsidRDefault="00A43152" w:rsidP="00A43152">
            <w:pPr>
              <w:suppressAutoHyphens/>
              <w:rPr>
                <w:rFonts w:ascii="Century Gothic" w:hAnsi="Century Gothic" w:cstheme="minorHAnsi"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color w:val="FF0000"/>
                <w:sz w:val="20"/>
                <w:szCs w:val="20"/>
              </w:rPr>
              <w:t xml:space="preserve">lub </w:t>
            </w:r>
          </w:p>
          <w:p w:rsidR="00A43152" w:rsidRPr="002A2C81" w:rsidRDefault="00A43152" w:rsidP="00A43152">
            <w:pPr>
              <w:suppressAutoHyphens/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  <w:t>Rozwiązanie nr 2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color w:val="FF0000"/>
                <w:sz w:val="20"/>
                <w:szCs w:val="20"/>
              </w:rPr>
              <w:t>sterowanie strzykawką z konsoli / monitora znajdującego się w konsoli technika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auto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uppressAutoHyphens/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  <w:t>Rozwiązanie nr 1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Możliwość pracy na zasilaniu bateryjnym, bezprzewodowe połączenie z terminalem sterującym w oparciu o standard bluetooth.</w:t>
            </w:r>
          </w:p>
          <w:p w:rsidR="00A43152" w:rsidRPr="002A2C81" w:rsidRDefault="00A43152" w:rsidP="00A43152">
            <w:pPr>
              <w:suppressAutoHyphens/>
              <w:rPr>
                <w:rFonts w:ascii="Century Gothic" w:hAnsi="Century Gothic" w:cstheme="minorHAnsi"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color w:val="FF0000"/>
                <w:sz w:val="20"/>
                <w:szCs w:val="20"/>
              </w:rPr>
              <w:t xml:space="preserve">lub </w:t>
            </w:r>
          </w:p>
          <w:p w:rsidR="00A43152" w:rsidRPr="002A2C81" w:rsidRDefault="00A43152" w:rsidP="00A43152">
            <w:pPr>
              <w:suppressAutoHyphens/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  <w:t>Rozwiązanie nr 2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theme="minorHAnsi"/>
                <w:color w:val="FF0000"/>
                <w:sz w:val="20"/>
                <w:szCs w:val="20"/>
              </w:rPr>
              <w:t>Zasilanie przewodowym połączeniem konsoli sterującej, przewody ukryte w kanałach technicznych pomieszczenia pracowni.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auto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sz w:val="20"/>
                <w:szCs w:val="20"/>
              </w:rPr>
              <w:t>Automatyczny raport dotyczący rzeczywistych parametrów kontrastu (co najmniej objętość, szybkość wstrzyknięcia, opóźnienie) jaką otrzymał pacjent w każdej serii dołączany do badania w postaci dodatkowej serii DICOM  z możliwością jego zapamiętania  i wydruku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Tak - 1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Nie – 0 pkt.,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sz w:val="20"/>
                <w:szCs w:val="20"/>
              </w:rPr>
              <w:t xml:space="preserve">Koszt netto materiałów jednorazowych „KMJ” w </w:t>
            </w:r>
            <w:r w:rsidRPr="002A2C81">
              <w:rPr>
                <w:rFonts w:ascii="Century Gothic" w:hAnsi="Century Gothic" w:cs="Arial"/>
                <w:b/>
                <w:sz w:val="20"/>
                <w:szCs w:val="20"/>
              </w:rPr>
              <w:t>zł</w:t>
            </w:r>
            <w:r w:rsidRPr="002A2C81">
              <w:rPr>
                <w:rFonts w:ascii="Century Gothic" w:hAnsi="Century Gothic" w:cs="Arial"/>
                <w:sz w:val="20"/>
                <w:szCs w:val="20"/>
              </w:rPr>
              <w:t xml:space="preserve"> do oferowanej strzykawki automatycznej, w przeliczeniu na jednego pacjenta, przy wykonywaniu 20 badań z kontrastem. 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sz w:val="20"/>
                <w:szCs w:val="20"/>
              </w:rPr>
              <w:t>Podać dokładne wyliczenia na podstawie, których otrzymano końcowy KMJ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auto"/>
                <w:sz w:val="16"/>
                <w:szCs w:val="20"/>
              </w:rPr>
              <w:t>KMJ: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auto"/>
                <w:sz w:val="16"/>
                <w:szCs w:val="20"/>
              </w:rPr>
              <w:t xml:space="preserve"> &lt; 14,00 zł – 3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auto"/>
                <w:sz w:val="16"/>
                <w:szCs w:val="20"/>
              </w:rPr>
              <w:t>14,01 – 17,00 zł – 2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auto"/>
                <w:sz w:val="16"/>
                <w:szCs w:val="20"/>
              </w:rPr>
              <w:t>17,01 – 20,00 zł – 1 pkt.,</w:t>
            </w:r>
          </w:p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2A2C81">
              <w:rPr>
                <w:rFonts w:ascii="Century Gothic" w:hAnsi="Century Gothic"/>
                <w:color w:val="auto"/>
                <w:sz w:val="16"/>
                <w:szCs w:val="20"/>
              </w:rPr>
              <w:t>&gt;20,00 zł – 0 pkt.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15"/>
              </w:numPr>
              <w:spacing w:before="20" w:after="20"/>
              <w:ind w:left="53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Wyposażenie dodatkowe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C81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Monitor EKG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A43152" w:rsidRPr="002A2C81" w:rsidTr="00907454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0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CE0258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color w:val="FF0000"/>
                <w:sz w:val="20"/>
              </w:rPr>
            </w:pPr>
            <w:r w:rsidRPr="00CE0258">
              <w:rPr>
                <w:rFonts w:ascii="Century Gothic" w:hAnsi="Century Gothic"/>
                <w:b/>
                <w:color w:val="FF0000"/>
                <w:sz w:val="20"/>
              </w:rPr>
              <w:t>Rozwiązanie nr 1</w:t>
            </w:r>
          </w:p>
          <w:p w:rsidR="00A43152" w:rsidRPr="00CE0258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</w:rPr>
            </w:pPr>
            <w:r w:rsidRPr="00CE0258">
              <w:rPr>
                <w:rFonts w:ascii="Century Gothic" w:hAnsi="Century Gothic"/>
                <w:color w:val="000000" w:themeColor="text1"/>
                <w:sz w:val="20"/>
              </w:rPr>
              <w:t>Monitor zintegrowany z tomografem pozwalający na bramkowanie akwizycji promieniowania sygnałem EKG – 1 szt.</w:t>
            </w:r>
          </w:p>
          <w:p w:rsidR="00A43152" w:rsidRPr="00CE0258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FF0000"/>
                <w:sz w:val="20"/>
              </w:rPr>
            </w:pPr>
            <w:r w:rsidRPr="00CE0258">
              <w:rPr>
                <w:rFonts w:ascii="Century Gothic" w:hAnsi="Century Gothic"/>
                <w:color w:val="FF0000"/>
                <w:sz w:val="20"/>
              </w:rPr>
              <w:t>lub</w:t>
            </w:r>
          </w:p>
          <w:p w:rsidR="00A43152" w:rsidRPr="00CE0258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</w:rPr>
            </w:pPr>
            <w:r w:rsidRPr="00CE0258">
              <w:rPr>
                <w:rFonts w:ascii="Century Gothic" w:hAnsi="Century Gothic"/>
                <w:b/>
                <w:color w:val="FF0000"/>
                <w:sz w:val="20"/>
              </w:rPr>
              <w:t>Rozwiązanie nr 2</w:t>
            </w:r>
          </w:p>
          <w:p w:rsidR="00A43152" w:rsidRPr="00CE0258" w:rsidRDefault="00A43152" w:rsidP="00907454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</w:rPr>
            </w:pPr>
            <w:r w:rsidRPr="00CE0258">
              <w:rPr>
                <w:rFonts w:ascii="Century Gothic" w:hAnsi="Century Gothic"/>
                <w:color w:val="FF0000"/>
                <w:sz w:val="20"/>
              </w:rPr>
              <w:t>W przypadku gdy monitor EKG posiada wyświetlacz systemowy przebiegu EKG zintegrowany z tomografem Wykonawca winien wypełnić: Nazwę firmy / producenta / model / typ sformułowaniem – „</w:t>
            </w:r>
            <w:r w:rsidRPr="00CE0258">
              <w:rPr>
                <w:rFonts w:ascii="Century Gothic" w:hAnsi="Century Gothic"/>
                <w:b/>
                <w:color w:val="FF0000"/>
                <w:sz w:val="20"/>
                <w:u w:val="single"/>
              </w:rPr>
              <w:t>n.d</w:t>
            </w:r>
            <w:r w:rsidRPr="00CE0258">
              <w:rPr>
                <w:rFonts w:ascii="Century Gothic" w:hAnsi="Century Gothic"/>
                <w:color w:val="FF0000"/>
                <w:sz w:val="20"/>
              </w:rPr>
              <w:t>” lub „</w:t>
            </w:r>
            <w:r w:rsidRPr="00CE0258">
              <w:rPr>
                <w:rFonts w:ascii="Century Gothic" w:hAnsi="Century Gothic"/>
                <w:b/>
                <w:color w:val="FF0000"/>
                <w:sz w:val="20"/>
                <w:u w:val="single"/>
              </w:rPr>
              <w:t>część składowa systemu</w:t>
            </w:r>
            <w:r w:rsidRPr="00CE0258">
              <w:rPr>
                <w:rFonts w:ascii="Century Gothic" w:hAnsi="Century Gothic"/>
                <w:color w:val="FF0000"/>
                <w:sz w:val="20"/>
              </w:rPr>
              <w:t>”. W takim przypadku wymaganym jest dostarczenie</w:t>
            </w:r>
            <w:r w:rsidR="00907454">
              <w:rPr>
                <w:rFonts w:ascii="Century Gothic" w:hAnsi="Century Gothic"/>
                <w:color w:val="FF0000"/>
                <w:sz w:val="20"/>
              </w:rPr>
              <w:t xml:space="preserve"> przez Wykonawcę</w:t>
            </w:r>
            <w:r w:rsidRPr="00CE0258">
              <w:rPr>
                <w:rFonts w:ascii="Century Gothic" w:hAnsi="Century Gothic"/>
                <w:color w:val="FF0000"/>
                <w:sz w:val="20"/>
              </w:rPr>
              <w:t xml:space="preserve"> min. 1 szt. tabletu umożliwiającego </w:t>
            </w:r>
            <w:r w:rsidR="008E026D">
              <w:rPr>
                <w:rFonts w:ascii="Century Gothic" w:hAnsi="Century Gothic"/>
                <w:color w:val="FF0000"/>
                <w:sz w:val="20"/>
              </w:rPr>
              <w:t xml:space="preserve">bezprzewodowe </w:t>
            </w:r>
            <w:r w:rsidRPr="00CE0258">
              <w:rPr>
                <w:rFonts w:ascii="Century Gothic" w:hAnsi="Century Gothic"/>
                <w:color w:val="FF0000"/>
                <w:sz w:val="20"/>
              </w:rPr>
              <w:t>bramkowanie akwizycji promieniowania sygnałem EKG</w:t>
            </w:r>
            <w:r w:rsidR="008E026D">
              <w:rPr>
                <w:rFonts w:ascii="Century Gothic" w:hAnsi="Century Gothic"/>
                <w:color w:val="FF0000"/>
                <w:sz w:val="20"/>
              </w:rPr>
              <w:t xml:space="preserve"> z </w:t>
            </w:r>
            <w:r w:rsidR="00907454">
              <w:rPr>
                <w:rFonts w:ascii="Century Gothic" w:hAnsi="Century Gothic"/>
                <w:color w:val="FF0000"/>
                <w:sz w:val="20"/>
              </w:rPr>
              <w:t>pomieszczenia, w którym znajdować się będzie stacja akwizycyjna</w:t>
            </w:r>
            <w:r w:rsidRPr="00CE0258">
              <w:rPr>
                <w:rFonts w:ascii="Century Gothic" w:hAnsi="Century Gothic"/>
                <w:color w:val="FF0000"/>
                <w:sz w:val="20"/>
              </w:rPr>
              <w:t>.</w:t>
            </w:r>
            <w:r w:rsidRPr="00A841C9">
              <w:rPr>
                <w:rFonts w:ascii="Century Gothic" w:hAnsi="Century Gothic"/>
                <w:color w:val="FF0000"/>
                <w:sz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A841C9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</w:rPr>
            </w:pPr>
            <w:r w:rsidRPr="00A841C9">
              <w:rPr>
                <w:rFonts w:ascii="Century Gothic" w:hAnsi="Century Gothic" w:cs="Arial Narrow"/>
                <w:color w:val="000000"/>
                <w:sz w:val="16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A841C9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667455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FF0000"/>
                <w:sz w:val="16"/>
              </w:rPr>
            </w:pPr>
            <w:r w:rsidRPr="00667455">
              <w:rPr>
                <w:rFonts w:ascii="Century Gothic" w:hAnsi="Century Gothic"/>
                <w:color w:val="FF0000"/>
                <w:sz w:val="16"/>
              </w:rPr>
              <w:t>Rozwiązanie nr 1 – 2 pkt.,</w:t>
            </w:r>
          </w:p>
          <w:p w:rsidR="00A43152" w:rsidRPr="00667455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FF0000"/>
                <w:sz w:val="16"/>
              </w:rPr>
            </w:pPr>
            <w:r w:rsidRPr="00667455">
              <w:rPr>
                <w:rFonts w:ascii="Century Gothic" w:hAnsi="Century Gothic"/>
                <w:color w:val="FF0000"/>
                <w:sz w:val="16"/>
              </w:rPr>
              <w:t>Rozwiązanie nr 2 – 0 pkt.</w:t>
            </w:r>
          </w:p>
          <w:p w:rsidR="00A43152" w:rsidRPr="00A841C9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FF0000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C81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Zestaw firmowych fantomów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0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Zestaw firmowych fantomów serwisowych do kalibracji i kontroli jakości obrazowania  - 1 zestaw</w:t>
            </w:r>
          </w:p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sz w:val="20"/>
                <w:szCs w:val="20"/>
              </w:rPr>
              <w:t xml:space="preserve">Uwaga – </w:t>
            </w:r>
            <w:r w:rsidRPr="002A2C81">
              <w:rPr>
                <w:rFonts w:ascii="Century Gothic" w:hAnsi="Century Gothic" w:cs="Arial Narrow"/>
                <w:sz w:val="20"/>
                <w:szCs w:val="20"/>
              </w:rPr>
              <w:t>Fantomy zgodne z Rozporządzeniem Ministra Zdrowia z dn. 18.02.2018 r. w sprawie bezpiecznego stosowania promieniowania jonizującego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Interkom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strike/>
                <w:color w:val="FF000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strike/>
                <w:color w:val="FF000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strike/>
                <w:color w:val="FF000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strike/>
                <w:color w:val="FF000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0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7314E4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</w:rPr>
            </w:pPr>
            <w:r w:rsidRPr="008114F8">
              <w:rPr>
                <w:rFonts w:ascii="Calibri" w:hAnsi="Calibri" w:cs="Calibri"/>
                <w:color w:val="FF0000"/>
              </w:rPr>
              <w:t xml:space="preserve">Interkom 2-kierunkowy </w:t>
            </w:r>
            <w:r w:rsidRPr="005014D9">
              <w:rPr>
                <w:rFonts w:ascii="Calibri" w:hAnsi="Calibri" w:cs="Calibri"/>
                <w:color w:val="FF0000"/>
              </w:rPr>
              <w:t xml:space="preserve">do komunikacji głosowej z pacjentem </w:t>
            </w:r>
            <w:r>
              <w:rPr>
                <w:rFonts w:ascii="Calibri" w:hAnsi="Calibri" w:cs="Calibri"/>
                <w:color w:val="FF0000"/>
              </w:rPr>
              <w:t xml:space="preserve">, </w:t>
            </w:r>
            <w:r w:rsidRPr="008114F8">
              <w:rPr>
                <w:rFonts w:ascii="Calibri" w:hAnsi="Calibri" w:cs="Calibri"/>
                <w:color w:val="FF0000"/>
              </w:rPr>
              <w:t>sterownia-sala badań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7314E4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biurko/blat roboczy pod konsolę operatorską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0"/>
              </w:numPr>
              <w:spacing w:before="20" w:after="2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biurko/blat roboczy pod konsolę operatorską kompatybilne z dostarczoną konsolą operatorską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pacing w:before="20" w:after="2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C81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Regał na akcesoria TK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73"/>
              <w:rPr>
                <w:rFonts w:ascii="Century Gothic" w:hAnsi="Century Gothic"/>
                <w:strike/>
                <w:color w:val="FF000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73"/>
              <w:rPr>
                <w:rFonts w:ascii="Century Gothic" w:hAnsi="Century Gothic"/>
                <w:strike/>
                <w:color w:val="FF000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73"/>
              <w:rPr>
                <w:rFonts w:ascii="Century Gothic" w:hAnsi="Century Gothic"/>
                <w:strike/>
                <w:color w:val="FF000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73"/>
              <w:rPr>
                <w:rFonts w:ascii="Century Gothic" w:hAnsi="Century Gothic"/>
                <w:strike/>
                <w:color w:val="FF000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trike/>
                <w:color w:val="FF0000"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trike/>
                <w:color w:val="FF0000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0"/>
              </w:numPr>
              <w:spacing w:before="20" w:after="2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Regał na akcesoria TK umożliwiający poukładanie dostarczonego wyposażenia w tym, zestawów firmowych fantomów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b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Zestaw środków ochrony osobistej przed promieniowaniem RTG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0"/>
              </w:numPr>
              <w:spacing w:before="20" w:after="2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20"/>
                <w:szCs w:val="20"/>
              </w:rPr>
              <w:t>Zestaw środków ochrony osobistej przed promieniowaniem RTG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b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Damskie osłony radiologiczne na gonady o wsp. pochłanialności promieniowania = 1 mm Pb; rozm. "L" 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Męskie osłony radiologiczne na gonady o wsp. pochłanialności promieniowania = 1 mm Pb; rozm. "L" 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Dziecięce osłony radiologiczne na gonady o wsp. pochłanialności promieniowania = 1 mm Pb; rozm. "L" 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osłona niecieniująca na tarczycę lateksowa powlekana bizmutem do TK - 1 kpl. = 10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kołnierz na tarczycę o wsp. pochłanialności promieniowania = 0,5 mm Pb;  w rozm. "L"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niecieniująca osłona lateksowa pokryta bizmutem do TK na źrenicę oczu – 1 kpl. = 10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niecieniująca osłona lateksowa pokryta bizmutem do TK na piersi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osłona pediatryczna niecieniująca z wkładką z pianki o gr. 10 mm - 1 szt. (rozmiar - dzieci do 5-go roku życia)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osłona do ochrony głowy o wsp. 0,5 mm Pb wokół głowy i 0,25 Pb od góry;  - 1 kpl. = 2 szt. rozm. M + 1 szt. rozm.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fartuch ochronny dla dzieci dwustronny typu Poncho o wsp. pochłanialności promieniowania = 0,5/0,5 mm Pb - rozm. 46x60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fartuch ochronny dla dorosłych dwustronny typu 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lastRenderedPageBreak/>
              <w:t>Poncho o wsp. pochłanialności promieniowania = 0,5/0,5 mm Pb – rozm. L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 xml:space="preserve">Tak, podać </w:t>
            </w: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fartuch typu koc - 200 cm na 60 cm. do owinięcia pacjentów z rzepami mocującymi o wsp. pochłanialności promieniowania = 1 mm Pb;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15"/>
              </w:numPr>
              <w:spacing w:before="20" w:after="20"/>
              <w:ind w:left="53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 xml:space="preserve">SPRZĘT KOMPUTEROWY / PRACA W SIECIACH INFORMATYCZNYCH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Oferowane urządzenia posiadają  możliwość współpracy ze szpitalnymi sieciami informatycznymi RIS/PACS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Aktualizacja oprogramowania zainstalowanego w dostarczonych urządzeniach w okresie trwania gwarancji – bez dodatkowych kosztów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Do wszystkich dostarczonych urządzeń, w tym informatycznych (komputery, stacje robocze, itp.) </w:t>
            </w:r>
            <w:r w:rsidRPr="002A2C81">
              <w:rPr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>oraz oprogramowania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zostaną dołączone hasła administracyjne (o ile występują), które umożliwią dostęp do serwisu wybranego przez Zamawiającego 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lastRenderedPageBreak/>
              <w:t>po upływie gwarancji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Lista-kontynuacja22"/>
              <w:snapToGrid w:val="0"/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bCs/>
                <w:color w:val="000000" w:themeColor="text1"/>
                <w:lang w:eastAsia="pl-PL"/>
              </w:rPr>
            </w:pPr>
            <w:r w:rsidRPr="002A2C81">
              <w:rPr>
                <w:rFonts w:ascii="Century Gothic" w:hAnsi="Century Gothic"/>
                <w:color w:val="000000" w:themeColor="text1"/>
              </w:rPr>
              <w:t xml:space="preserve">Wykonawca gwarantuje, że przyszła integracja </w:t>
            </w:r>
            <w:r w:rsidRPr="002A2C81">
              <w:rPr>
                <w:rFonts w:ascii="Century Gothic" w:hAnsi="Century Gothic"/>
                <w:bCs/>
                <w:color w:val="000000" w:themeColor="text1"/>
                <w:lang w:eastAsia="pl-PL"/>
              </w:rPr>
              <w:t>dostarczonego zestawu urządzeń z systemami RIS  i PACS nie będzie wymagała dodatkowych opłat. Przyszła integracja zapewni co najmniej archiwizację badań, obsługę list roboczych, utworzenie w systemach nowej pracowni i konfigurację aparatury z systemami RIS/PACS.</w:t>
            </w:r>
          </w:p>
          <w:p w:rsidR="00A43152" w:rsidRPr="002A2C81" w:rsidRDefault="00A43152" w:rsidP="00A43152">
            <w:pPr>
              <w:pStyle w:val="Lista-kontynuacja22"/>
              <w:snapToGrid w:val="0"/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bCs/>
                <w:color w:val="000000" w:themeColor="text1"/>
                <w:lang w:eastAsia="pl-PL"/>
              </w:rPr>
            </w:pPr>
          </w:p>
          <w:p w:rsidR="00A43152" w:rsidRPr="002A2C81" w:rsidRDefault="00A43152" w:rsidP="00A43152">
            <w:pPr>
              <w:pStyle w:val="Lista-kontynuacja22"/>
              <w:snapToGrid w:val="0"/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bCs/>
                <w:i/>
                <w:color w:val="000000" w:themeColor="text1"/>
                <w:lang w:eastAsia="pl-PL"/>
              </w:rPr>
            </w:pPr>
            <w:r w:rsidRPr="002A2C81">
              <w:rPr>
                <w:rFonts w:ascii="Century Gothic" w:hAnsi="Century Gothic"/>
                <w:bCs/>
                <w:i/>
                <w:color w:val="000000" w:themeColor="text1"/>
                <w:lang w:eastAsia="pl-PL"/>
              </w:rPr>
              <w:t>UWAGA – jako spełnienie warunku oczekuje się zagwarantowania bezkosztowej integracji ze strony wykonawcy w postaci otwarcia bramki i nawiązania połączenia z RIS/PACS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BD01CB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</w:rPr>
            </w:pPr>
            <w:r w:rsidRPr="00BD01CB">
              <w:rPr>
                <w:rFonts w:ascii="Century Gothic" w:hAnsi="Century Gothic" w:cs="Calibri"/>
                <w:color w:val="000000" w:themeColor="text1"/>
                <w:sz w:val="20"/>
              </w:rPr>
              <w:t xml:space="preserve">Dostarczony zestaw umożliwia dodawanie dodatkowych węzłów DICOM C-STORE (np. stacje diagnostyczne, roboty nagrywające, inne repozytoria badań) bez ponoszenia dodatkowych opłat </w:t>
            </w:r>
            <w:r w:rsidRPr="00BD01CB">
              <w:rPr>
                <w:rFonts w:ascii="Century Gothic" w:hAnsi="Century Gothic" w:cs="Calibri"/>
                <w:color w:val="FF0000"/>
                <w:sz w:val="20"/>
              </w:rPr>
              <w:t>w okresie gwarancji</w:t>
            </w:r>
            <w:r w:rsidRPr="00BD01CB">
              <w:rPr>
                <w:rFonts w:ascii="Century Gothic" w:hAnsi="Century Gothic" w:cs="Calibri"/>
                <w:color w:val="000000" w:themeColor="text1"/>
                <w:sz w:val="20"/>
              </w:rPr>
              <w:t xml:space="preserve">. </w:t>
            </w:r>
            <w:r w:rsidRPr="00BD01CB">
              <w:rPr>
                <w:rFonts w:ascii="Century Gothic" w:hAnsi="Century Gothic" w:cs="Calibri"/>
                <w:strike/>
                <w:color w:val="FF0000"/>
                <w:sz w:val="20"/>
              </w:rPr>
              <w:t>Operacja dodawania węzłów powinna być możliwa do przeprowadzenia przez przeszkolonych pracowników Zamawiającego.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121730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</w:rPr>
            </w:pPr>
            <w:r w:rsidRPr="00121730">
              <w:rPr>
                <w:rFonts w:ascii="Century Gothic" w:hAnsi="Century Gothic" w:cs="Arial Narrow"/>
                <w:color w:val="000000"/>
                <w:sz w:val="16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121730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121730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121730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 w:cs="Calibri"/>
                <w:color w:val="000000" w:themeColor="text1"/>
                <w:sz w:val="20"/>
                <w:szCs w:val="20"/>
              </w:rPr>
              <w:t>Wszystkie tory transmisyjne wykonane przez Wykonawcę oparte o okablowanie strukturalne będą wykonane w klasie E lub wyżej (komponenty Kat. 6 lub wyżej). Poprawność wykonania instalacji zostanie udokumentowana stosownymi pomiarami każdego toru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Wykonawca gwarantuje, że Zamawiający po 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lastRenderedPageBreak/>
              <w:t>zakupie będzie właścicielem licencji na dostarczone oprogramowanie (zapis nie dotyczy praw autorskich).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Zamawiający wymaga, aby Wykonawca udzielił Zamawiającemu licencji na korzystanie z zainstalowanego 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br/>
              <w:t>w urządzeniu oprogramowania serwisowego koniecznego do diagnozowania, regulowania, kalibracji, serwisowania i napraw urządzenia, przy czym: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1)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 xml:space="preserve">licencja jest udzielana na czas nieokreślony, nieodwołalna, bez możliwości jej wypowiedzenia przez Wykonawcę w okresie eksploatacji urządzenia, 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2)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>licencja jest udzielana bez konieczności ponoszenia dodatkowych opłat, w ramach wynagrodzenia za dostawę urządzenia,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3)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>licencja jest przenoszona na osobę trzecią wraz z przeniesieniem prawa własności urządzenia,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4)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>prawo do korzystania z oprogramowania serwisowego przysługuje Zamawiającemu oraz osobom trzecim wykonującym zlecone przez Zamawiającego czynności związane z diagnozowaniem, regulowaniem, kalibracją, serwisowaniem lub naprawą urządzenia,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5)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 xml:space="preserve">jeżeli do korzystania z oprogramowania serwisowego konieczne jest wprowadzenie kodów lub kluczy serwisowych lub hasła dostępu lub usunięcie blokady dostępu do oprogramowania w 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lastRenderedPageBreak/>
              <w:t>inny sposób, takie kody lub klucze serwisowe lub hasła dostępu lub inny sposób usunięcia blokady dostępu do oprogramowania będą przekazane Zamawiającemu przez Wykonawcę jednocześnie z przekazaniem Zamawiającemu urządzenia.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Przyłącza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 w:cs="Courier Ne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20"/>
                <w:szCs w:val="20"/>
              </w:rPr>
              <w:t>Interfejs Gigabit Ethernet. Integracja oraz konfiguracja wszystkich opisywanych urządzeń z systemem RIS/PACS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 w:cs="Courier Ne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20"/>
                <w:szCs w:val="20"/>
              </w:rPr>
              <w:t>Serwer z konfiguracją ze wskazanym systemem teleradiologicznym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 w:cs="Courier Ne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20"/>
                <w:szCs w:val="20"/>
              </w:rPr>
              <w:t>Integracja , konfiguracja oraz uruchomienie dostępu do stacji lekarskiej oraz do systemu RIS/PACS z 2 wskazanych lokalizacji.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 w:cs="Courier Ne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15"/>
              </w:numPr>
              <w:spacing w:before="20" w:after="20"/>
              <w:ind w:left="53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b/>
                <w:sz w:val="20"/>
                <w:szCs w:val="20"/>
              </w:rPr>
              <w:t>PRACE ADAPTACYJNE / INSTALACYJNE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Moc podłączeniowa [kVA]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W cenie oferty – wszystkie prace adaptacyjne, instalacyjne, itp. niezbędne do odbioru pracowni i aparatu przez uprawnione instytucje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Wszystkie prace – zgodnie z zapisami SIWZ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Wykonawca gwarantuje, że jego urządzenie już po oddaniu do eksploatacji nie będzie wymagało prowadzenia przez Zamawiającego dodatkowych instalacji i innych prac związanych z zasilaniem energetycznym urządzenia.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Ciężar całego systemu [kg] z rozbiciem na 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lastRenderedPageBreak/>
              <w:t xml:space="preserve">najbardziej istotne elementy składowe, tj.: 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- gantry,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- stół,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- konsola,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- jednostka dystrybucji.</w:t>
            </w:r>
          </w:p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  <w:t xml:space="preserve">UWAGA – Wykonawca gwarantuje jednocześnie, </w:t>
            </w:r>
            <w:r w:rsidRPr="002A2C81">
              <w:rPr>
                <w:rFonts w:ascii="Century Gothic" w:hAnsi="Century Gothic" w:cs="Arial"/>
                <w:i/>
                <w:color w:val="000000" w:themeColor="text1"/>
                <w:sz w:val="20"/>
                <w:szCs w:val="20"/>
              </w:rPr>
              <w:t>że masa systemu nie wpłynie na dopuszczalne obciążenie stropu pracowni oraz dróg transportowych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lastRenderedPageBreak/>
              <w:t xml:space="preserve">TAK, podać </w:t>
            </w: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lastRenderedPageBreak/>
              <w:t>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Warunki klimatyczne wymagane podczas pracy urządzenia:</w:t>
            </w:r>
          </w:p>
          <w:p w:rsidR="00A43152" w:rsidRPr="002A2C81" w:rsidRDefault="00A43152" w:rsidP="00A43152">
            <w:pPr>
              <w:numPr>
                <w:ilvl w:val="0"/>
                <w:numId w:val="3"/>
              </w:numPr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zakres temperatur [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  <w:vertAlign w:val="superscript"/>
              </w:rPr>
              <w:t>0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C]</w:t>
            </w:r>
          </w:p>
          <w:p w:rsidR="00A43152" w:rsidRPr="002A2C81" w:rsidRDefault="00A43152" w:rsidP="00A43152">
            <w:pPr>
              <w:numPr>
                <w:ilvl w:val="0"/>
                <w:numId w:val="3"/>
              </w:numPr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zakres wilgotności [%]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Dopuszczalne zmiany warunków klimatycznych podczas pracy:</w:t>
            </w:r>
          </w:p>
          <w:p w:rsidR="00A43152" w:rsidRPr="002A2C81" w:rsidRDefault="00A43152" w:rsidP="00A43152">
            <w:pPr>
              <w:numPr>
                <w:ilvl w:val="0"/>
                <w:numId w:val="3"/>
              </w:numPr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temperatura [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  <w:vertAlign w:val="superscript"/>
              </w:rPr>
              <w:t>0</w:t>
            </w: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C/godz]</w:t>
            </w:r>
          </w:p>
          <w:p w:rsidR="00A43152" w:rsidRPr="002A2C81" w:rsidRDefault="00A43152" w:rsidP="00A43152">
            <w:pPr>
              <w:numPr>
                <w:ilvl w:val="0"/>
                <w:numId w:val="3"/>
              </w:numPr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zakres wilgotności [% / godz]]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Ilość ciepła emitowana do pomieszczenia badań w trakcie skanowania [kW]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W przypadku potrzeby dodatkowego odprowadzenia ciepła z oferowanego systemu, urządzeń zasilających, peryferyjnych i komputerów zostanie dostarczony i zainstalowany odpowiedni system zapewniający pracę systemu w warunkach zgodnych z wytycznymi producenta (po stronie wykonawcy wszystkie ewentualne prace i czynności projektowe i wykonawcze)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sz w:val="20"/>
                <w:szCs w:val="20"/>
              </w:rPr>
              <w:t>Wykonawca uzyska i przygotuje we własnym zakresie i na własny koszt niezbędne uzgodnienia, opinie, decyzje, mapy i inne dokumenty niezbędne do celów projektowych.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sz w:val="20"/>
                <w:szCs w:val="20"/>
              </w:rPr>
              <w:t>Przed rozpoczęciem jakichkolwiek prac adaptacyjnych Wykonawca musi posiadać wymagane pozwolenia (w tym pozwolenie na budowę) lub złożyć Zamawiającemu oświadczenie, że określone pozwolenie nie jest wymagane.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sz w:val="20"/>
                <w:szCs w:val="20"/>
              </w:rPr>
              <w:t>Dla zapewnienia realizacji wszystkich niezbędnych prac o charakterze remontowo-budowlanym Wykonawca zapewni kierowników robót w odpowiednich branżach. Kierownicy robot muszą posiadać stosowne i aktualne przez cały okres inwestycji uprawnienia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sz w:val="20"/>
                <w:szCs w:val="20"/>
              </w:rPr>
              <w:t>Zrealizowane przez Wykonawcę prace o charakterze remontowo-budowlanym mają gwarantować uzyskanie pozytywnych decyzji o dopuszczeniu do użytkowania pracowni przez uprawnione instytucje (w tym: Wojewódzką Stację Sanitarno - Epidemiologiczną, Państwową Straż Pożarną i Państwową Inspekcję Pracy oraz inne – o ile są wymagane)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 w:cs="Arial"/>
                <w:bCs/>
                <w:color w:val="000000" w:themeColor="text1"/>
                <w:sz w:val="20"/>
                <w:szCs w:val="20"/>
              </w:rPr>
              <w:t xml:space="preserve">Wykonawca dostosuje istniejącą i wykona nową niezbędną instalację elektryczną, teletechniczną oraz inne niezbędne instalacje do prawidłowego zamontowania, uruchomienia i użytkowania urządzenia, jak również wykona wszystkie wynikające </w:t>
            </w:r>
            <w:r w:rsidRPr="002A2C81">
              <w:rPr>
                <w:rFonts w:ascii="Century Gothic" w:hAnsi="Century Gothic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z tego dostosowania roboty ogólnobudowlane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Lista-kontynuacja2"/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lang w:eastAsia="en-US"/>
              </w:rPr>
            </w:pPr>
            <w:r w:rsidRPr="002A2C81">
              <w:rPr>
                <w:rFonts w:ascii="Century Gothic" w:hAnsi="Century Gothic"/>
                <w:color w:val="000000" w:themeColor="text1"/>
                <w:lang w:eastAsia="en-US"/>
              </w:rPr>
              <w:t>Pełna dokumentacja powykonawcza zawierająca dokumentację architektoniczną, budowlaną, instalacyjną w tym informacje elektryczne (m. in. przebiegi obciążeń aparatu w funkcji czasu 1 cyklu badań)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Wykonawca jest odpowiedzialny za realizację całokształtu prac adaptacyjnych i instalacyjnych przy współpracy z inspektorami nadzoru Zamawiającego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C81">
              <w:rPr>
                <w:rFonts w:ascii="Century Gothic" w:hAnsi="Century Gothic"/>
                <w:sz w:val="20"/>
                <w:szCs w:val="20"/>
              </w:rPr>
              <w:t>Adaptacja istniejącej pracowni CT w zakresie niezbędnym do spełnienia wszystkich wytycznych instalacyjnych producenta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2C8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W cenie oferty – prace porządkowe, odbiór zbędnych opakowań, substancji szkodliwych (o ile występują), naprawa szkód (o ile wystąpią podczas dostawy i montażu)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6F2A0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15"/>
              </w:numPr>
              <w:spacing w:before="20" w:after="20"/>
              <w:ind w:left="53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POZOSTAŁE WYMAGANIA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0"/>
                <w:numId w:val="35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>Testy akceptacyjne, specjalistyczne i projekt ochrony radiologicznej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35"/>
              </w:numPr>
              <w:spacing w:before="20" w:after="20"/>
              <w:ind w:left="473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sz w:val="20"/>
                <w:szCs w:val="20"/>
              </w:rPr>
              <w:t xml:space="preserve">Wykonanie testów akceptacyjnych po zainstalowaniu urządzenia– </w:t>
            </w:r>
            <w:r w:rsidRPr="002A2C81">
              <w:rPr>
                <w:rFonts w:ascii="Century Gothic" w:hAnsi="Century Gothic" w:cs="Arial Narrow"/>
                <w:bCs/>
                <w:sz w:val="20"/>
                <w:szCs w:val="20"/>
              </w:rPr>
              <w:t>zawarte w cenie oferty, ponadto: testy specjalistyczne, pomiary mocy dawki,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>Tak, dostarczenie wyników najpóźniej 7 dni od dostawy urządzenia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43152" w:rsidRPr="002A2C81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kapitzlist"/>
              <w:numPr>
                <w:ilvl w:val="1"/>
                <w:numId w:val="35"/>
              </w:numPr>
              <w:spacing w:before="20" w:after="20"/>
              <w:ind w:left="473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2A2C81">
              <w:rPr>
                <w:rFonts w:ascii="Century Gothic" w:hAnsi="Century Gothic" w:cs="Arial Narrow"/>
                <w:bCs/>
                <w:sz w:val="20"/>
                <w:szCs w:val="20"/>
              </w:rPr>
              <w:t>Projekt osłon radiologicznych,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2A2C81">
              <w:rPr>
                <w:rFonts w:ascii="Century Gothic" w:hAnsi="Century Gothic" w:cs="Arial Narrow"/>
                <w:sz w:val="16"/>
                <w:szCs w:val="20"/>
              </w:rPr>
              <w:t xml:space="preserve">Tak, załączyć </w:t>
            </w:r>
            <w:r w:rsidRPr="002A2C81">
              <w:rPr>
                <w:rFonts w:ascii="Century Gothic" w:hAnsi="Century Gothic" w:cs="Arial Narrow"/>
                <w:sz w:val="16"/>
                <w:szCs w:val="20"/>
              </w:rPr>
              <w:lastRenderedPageBreak/>
              <w:t>przy dostawie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152" w:rsidRPr="002A2C81" w:rsidRDefault="00A43152" w:rsidP="00A431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2A2C81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bookmarkEnd w:id="0"/>
    </w:tbl>
    <w:p w:rsidR="00761FC5" w:rsidRPr="007314E4" w:rsidRDefault="00761FC5" w:rsidP="000C52D0">
      <w:pPr>
        <w:spacing w:line="276" w:lineRule="auto"/>
        <w:rPr>
          <w:rFonts w:ascii="Century Gothic" w:hAnsi="Century Gothic"/>
          <w:b/>
        </w:rPr>
      </w:pPr>
    </w:p>
    <w:p w:rsidR="00DB683C" w:rsidRPr="007314E4" w:rsidRDefault="00B77597" w:rsidP="00867694">
      <w:pPr>
        <w:spacing w:line="276" w:lineRule="auto"/>
        <w:rPr>
          <w:rFonts w:ascii="Century Gothic" w:hAnsi="Century Gothic"/>
          <w:i/>
        </w:rPr>
      </w:pPr>
      <w:r w:rsidRPr="007314E4">
        <w:rPr>
          <w:rFonts w:ascii="Century Gothic" w:hAnsi="Century Gothic"/>
          <w:b/>
        </w:rPr>
        <w:br w:type="column"/>
      </w:r>
      <w:r w:rsidRPr="007314E4">
        <w:rPr>
          <w:rFonts w:ascii="Century Gothic" w:hAnsi="Century Gothic"/>
          <w:b/>
          <w:shd w:val="clear" w:color="auto" w:fill="D9D9D9" w:themeFill="background1" w:themeFillShade="D9"/>
        </w:rPr>
        <w:lastRenderedPageBreak/>
        <w:t xml:space="preserve">Rozdział nr II - </w:t>
      </w:r>
      <w:r w:rsidR="00DB683C" w:rsidRPr="007314E4">
        <w:rPr>
          <w:rFonts w:ascii="Century Gothic" w:hAnsi="Century Gothic"/>
          <w:i/>
          <w:shd w:val="clear" w:color="auto" w:fill="D9D9D9" w:themeFill="background1" w:themeFillShade="D9"/>
        </w:rPr>
        <w:t>Gwarancja i obsługa serwisowa (gwarancyjna i pogwarancyjna)</w:t>
      </w:r>
    </w:p>
    <w:p w:rsidR="00EF3364" w:rsidRPr="007314E4" w:rsidRDefault="00EF3364" w:rsidP="00867694">
      <w:pPr>
        <w:spacing w:line="276" w:lineRule="auto"/>
        <w:rPr>
          <w:rFonts w:ascii="Century Gothic" w:hAnsi="Century Gothic"/>
        </w:rPr>
      </w:pPr>
    </w:p>
    <w:tbl>
      <w:tblPr>
        <w:tblW w:w="1516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394"/>
        <w:gridCol w:w="1133"/>
        <w:gridCol w:w="4112"/>
        <w:gridCol w:w="2835"/>
        <w:gridCol w:w="1984"/>
      </w:tblGrid>
      <w:tr w:rsidR="00DB683C" w:rsidRPr="007314E4" w:rsidTr="005F62A2">
        <w:trPr>
          <w:trHeight w:val="1008"/>
        </w:trPr>
        <w:tc>
          <w:tcPr>
            <w:tcW w:w="710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tabs>
                <w:tab w:val="left" w:pos="1832"/>
                <w:tab w:val="left" w:pos="2748"/>
                <w:tab w:val="left" w:pos="3664"/>
                <w:tab w:val="center" w:pos="4536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9072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L.P.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color w:val="00000A"/>
                <w:sz w:val="16"/>
                <w:szCs w:val="20"/>
                <w:lang w:eastAsia="zh-CN"/>
              </w:rPr>
              <w:t>Opis parametrów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 xml:space="preserve">Parametr / wartość / ilość 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b/>
                <w:sz w:val="16"/>
                <w:szCs w:val="20"/>
                <w:lang w:eastAsia="zh-CN"/>
              </w:rPr>
              <w:t>Nr strony oferty potwierdzającej parametr oferowany</w:t>
            </w:r>
          </w:p>
        </w:tc>
      </w:tr>
      <w:tr w:rsidR="00DB683C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Gwarancja </w:t>
            </w:r>
            <w:r w:rsidR="006261A9" w:rsidRPr="007314E4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min. 24 miesięcy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od dnia instalacji po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twierdzonej protokołem uruchomienia i prze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kaza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nia urządzenia</w:t>
            </w:r>
          </w:p>
          <w:p w:rsidR="00DB683C" w:rsidRPr="007314E4" w:rsidRDefault="003E4A3D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</w:t>
            </w:r>
          </w:p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UWAGA1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- gwarancja na cał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wity przedmiot zamówienia w tym</w:t>
            </w:r>
            <w:r w:rsidR="00EB0BCD"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na lampę RTG i detektor, wstrzykiwacz kontrastu,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na system, oprogramowanie, licencje oraz inne elementy składowe, bez żadnych wyłączeń</w:t>
            </w:r>
          </w:p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UWAGA 2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– należy podać pełną liczbę mie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sięcy. Wartości ułamkowe będą przy ocenie za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okrąglane w dół – do pełnych miesięcy,</w:t>
            </w:r>
          </w:p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/>
                <w:b/>
                <w:color w:val="000000"/>
                <w:sz w:val="20"/>
                <w:szCs w:val="20"/>
                <w:lang w:eastAsia="en-US"/>
              </w:rPr>
              <w:t>UWAGA 3</w:t>
            </w:r>
            <w:r w:rsidRPr="007314E4">
              <w:rPr>
                <w:rFonts w:ascii="Century Gothic" w:eastAsia="Calibri" w:hAnsi="Century Gothic"/>
                <w:color w:val="000000"/>
                <w:sz w:val="20"/>
                <w:szCs w:val="20"/>
                <w:lang w:eastAsia="en-US"/>
              </w:rPr>
              <w:t xml:space="preserve"> – maksymalny okres gwarancji 8 lat.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DB683C" w:rsidRPr="007314E4" w:rsidRDefault="006261A9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24 miesięcy</w:t>
            </w:r>
            <w:r w:rsidR="00EB0BCD"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 xml:space="preserve"> gwarancji - 0 pkt.,</w:t>
            </w:r>
          </w:p>
          <w:p w:rsidR="00EB0BCD" w:rsidRPr="007314E4" w:rsidRDefault="006261A9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36 miesięcy gwarancji –</w:t>
            </w:r>
            <w:r w:rsidR="00E43A34"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 xml:space="preserve"> 3</w:t>
            </w: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 xml:space="preserve"> pkt.,</w:t>
            </w:r>
          </w:p>
          <w:p w:rsidR="00EB0BCD" w:rsidRPr="007314E4" w:rsidRDefault="006261A9" w:rsidP="006261A9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48 i więcej miesięcy gwarancji – 5 pkt.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DB683C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Przedłużenie okresu gwarancji o każdy dzień trwa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jącej naprawy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B0BCD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 okresie gwarancji wykonawcę obowiązuje wykonywanie testów specjalistycznych (realizowanych przez jednostki posiadających wymaganą w momencie wykonywania tych czynności akredytację)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B0BCD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Opieka techniczna, wymagane zgodnie z zale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ceniami producenta przeglądy okre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sowe wykonane przez autoryzowany serwis wraz z zestawami do przeglądu na koszt oferenta przez okres gwarancji. 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B0BCD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Zapewnienie dostępności części zamiennych i serwisu przez okres 10 lat od daty zainstalowania aparatu. Powyższe nie dotyczy oprogramowania i sprzętu komputerowego, dla którego Wykonawca zapewnia 5 letnią dostępność części zamiennych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B0BCD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B0BCD" w:rsidRPr="007314E4" w:rsidRDefault="008D257D" w:rsidP="008D257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  <w:t>Wymiana każdego podzespołu na nowy po jego drugiej naprawie. Trzecia naprawa skutkuje wymianą elementu na nowy.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21462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21462" w:rsidRPr="00E218FA" w:rsidRDefault="00E21462" w:rsidP="00E21462">
            <w:pPr>
              <w:autoSpaceDE w:val="0"/>
              <w:autoSpaceDN w:val="0"/>
              <w:adjustRightInd w:val="0"/>
              <w:spacing w:before="40" w:after="40" w:line="276" w:lineRule="auto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E218FA"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  <w:t xml:space="preserve">Zdalna diagnostyka przez chronione łącze z możliwością rejestracji i odczytu online rejestrów błędów, oraz monitorowaniem systemu(uwaga – całość ewentualnych prac i wyposażenia sprzętowego, które będzie służyło tej funkcjonalności po stronie wykonawcy) </w:t>
            </w:r>
            <w:r w:rsidRPr="00E218FA">
              <w:rPr>
                <w:rFonts w:ascii="Century Gothic" w:eastAsia="Calibri" w:hAnsi="Century Gothic" w:cs="Calibri"/>
                <w:color w:val="FF0000"/>
                <w:sz w:val="20"/>
                <w:szCs w:val="20"/>
              </w:rPr>
              <w:t>– nie dotyczy rozdz. I pkt. II I III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21462" w:rsidRPr="00E218FA" w:rsidRDefault="00E21462" w:rsidP="00E21462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E218FA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21462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Autoryzowany serwis gwarancyjny i pogwaran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cyjny na terenie Rzeczpospolitej Polskiej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21462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Aktualizacja oprogramowania do najnowszych wersji zainstalowanego w dostarczonych urządzeniach w okresie trwania gwarancji.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21462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Aparat oraz wszystkie oferowane urządzenia pozbawione haseł, kodów, blokad serwi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sowych, itp., które po upływie gwarancji utrudnia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łyby właścicielowi dostęp do opcji serwi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sowych lub naprawę aparatu i urządzeń przez inny niż Wy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konawca umowy podmiot, w przypadku nie ko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rzystania przez zamawiającego z serwisu po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gwarancyjnego Wy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konawcy lub udostępnienie haseł, kodów serwiso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wych, itp., załączonych najpóźniej w ostatnim dniu gwarancji – dotyczy kompletnego przedmiotu zamówienia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E21462" w:rsidRPr="007314E4" w:rsidRDefault="00E21462" w:rsidP="00E21462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</w:tbl>
    <w:p w:rsidR="00DB683C" w:rsidRPr="007314E4" w:rsidRDefault="00DB683C" w:rsidP="000C52D0">
      <w:pPr>
        <w:spacing w:line="276" w:lineRule="auto"/>
        <w:rPr>
          <w:rFonts w:ascii="Century Gothic" w:hAnsi="Century Gothic"/>
          <w:b/>
          <w:sz w:val="10"/>
        </w:rPr>
      </w:pPr>
    </w:p>
    <w:p w:rsidR="00B02E58" w:rsidRPr="007314E4" w:rsidRDefault="00EF3364" w:rsidP="00B02E58">
      <w:pPr>
        <w:rPr>
          <w:rFonts w:ascii="Century Gothic" w:hAnsi="Century Gothic"/>
          <w:b/>
        </w:rPr>
      </w:pPr>
      <w:r w:rsidRPr="007314E4">
        <w:rPr>
          <w:rFonts w:ascii="Century Gothic" w:hAnsi="Century Gothic"/>
          <w:b/>
          <w:bCs/>
          <w:sz w:val="22"/>
          <w:szCs w:val="22"/>
        </w:rPr>
        <w:br w:type="column"/>
      </w:r>
      <w:r w:rsidR="00B02E58" w:rsidRPr="007314E4">
        <w:rPr>
          <w:rFonts w:ascii="Century Gothic" w:hAnsi="Century Gothic"/>
          <w:b/>
          <w:bCs/>
          <w:sz w:val="22"/>
          <w:szCs w:val="22"/>
        </w:rPr>
        <w:lastRenderedPageBreak/>
        <w:t xml:space="preserve">Pogwarancyjna obsługa serwisowa – </w:t>
      </w:r>
      <w:r w:rsidR="00B02E58" w:rsidRPr="007314E4">
        <w:rPr>
          <w:rFonts w:ascii="Century Gothic" w:hAnsi="Century Gothic"/>
          <w:b/>
          <w:bCs/>
          <w:sz w:val="22"/>
          <w:szCs w:val="22"/>
          <w:u w:val="single"/>
        </w:rPr>
        <w:t>koszty eksploatacji</w:t>
      </w:r>
      <w:r w:rsidR="00B02E58" w:rsidRPr="007314E4">
        <w:rPr>
          <w:rFonts w:ascii="Century Gothic" w:hAnsi="Century Gothic"/>
          <w:b/>
          <w:bCs/>
          <w:sz w:val="22"/>
          <w:szCs w:val="22"/>
        </w:rPr>
        <w:t xml:space="preserve"> </w:t>
      </w:r>
    </w:p>
    <w:tbl>
      <w:tblPr>
        <w:tblW w:w="13893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709"/>
        <w:gridCol w:w="4395"/>
        <w:gridCol w:w="1418"/>
        <w:gridCol w:w="4819"/>
        <w:gridCol w:w="2552"/>
      </w:tblGrid>
      <w:tr w:rsidR="006472AF" w:rsidRPr="007314E4" w:rsidTr="006472AF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747F6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747F6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747F6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747F6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747F6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</w:tr>
      <w:tr w:rsidR="006472AF" w:rsidRPr="007314E4" w:rsidTr="006472A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B02E58">
            <w:pPr>
              <w:numPr>
                <w:ilvl w:val="0"/>
                <w:numId w:val="21"/>
              </w:numPr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747F68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>Gwarantowany pogwarancyjny koszt rocznych przeglądów technicznych „GKPT” (wartość brutto, waluta PLN) wykonany przez autoryzowany serwis zgodnie z zaleceniami producenta wraz z zestawami do przeglądu, wiążący przez 5 lat po okresie gwarancji</w:t>
            </w:r>
          </w:p>
          <w:p w:rsidR="006472AF" w:rsidRPr="007314E4" w:rsidRDefault="006472AF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*GKPT obejmuje 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7314E4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747F68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747F6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K</w:t>
            </w:r>
            <w:r w:rsidRPr="007314E4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 = ………………………………………….,</w:t>
            </w:r>
          </w:p>
          <w:p w:rsidR="006472AF" w:rsidRPr="007314E4" w:rsidRDefault="006472AF" w:rsidP="00747F6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7314E4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= ………………………………………….,</w:t>
            </w:r>
          </w:p>
          <w:p w:rsidR="006472AF" w:rsidRPr="007314E4" w:rsidRDefault="006472AF" w:rsidP="00747F6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</w:p>
          <w:p w:rsidR="006472AF" w:rsidRPr="007314E4" w:rsidRDefault="006472AF" w:rsidP="00747F68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gdzie:</w:t>
            </w:r>
          </w:p>
          <w:p w:rsidR="006472AF" w:rsidRPr="007314E4" w:rsidRDefault="006472AF" w:rsidP="00747F68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K</w:t>
            </w:r>
            <w:r w:rsidRPr="007314E4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koszt przeglądu technicznego,</w:t>
            </w:r>
          </w:p>
          <w:p w:rsidR="006472AF" w:rsidRPr="007314E4" w:rsidRDefault="006472AF" w:rsidP="00747F68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n</w:t>
            </w:r>
            <w:r w:rsidRPr="007314E4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liczba przeglądów technicznych wykonywanych w okresie jednego roku przez autoryzowany serwis zgodnie z zaleceniami producenta.</w:t>
            </w:r>
          </w:p>
          <w:p w:rsidR="006472AF" w:rsidRPr="007314E4" w:rsidRDefault="006472AF" w:rsidP="00747F68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</w:p>
          <w:p w:rsidR="006472AF" w:rsidRPr="007314E4" w:rsidRDefault="006472AF" w:rsidP="00747F68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Gwarantowany pogwarancyjny koszt rocznych przeglądów technicznych (GKPT):</w:t>
            </w:r>
          </w:p>
          <w:p w:rsidR="006472AF" w:rsidRPr="007314E4" w:rsidRDefault="006472AF" w:rsidP="00747F6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K</w:t>
            </w:r>
            <w:r w:rsidRPr="007314E4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• n</w:t>
            </w:r>
            <w:r w:rsidRPr="007314E4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</w:p>
          <w:p w:rsidR="006472AF" w:rsidRPr="007314E4" w:rsidRDefault="006472AF" w:rsidP="00747F6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747F68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6472AF" w:rsidRPr="007314E4" w:rsidRDefault="006472AF" w:rsidP="00747F68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„MAX” pkt. </w:t>
            </w:r>
          </w:p>
          <w:p w:rsidR="006472AF" w:rsidRPr="007314E4" w:rsidRDefault="006472AF" w:rsidP="00747F6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>Pozostałe proporcjonalnie*</w:t>
            </w:r>
          </w:p>
        </w:tc>
      </w:tr>
      <w:tr w:rsidR="006472AF" w:rsidRPr="007314E4" w:rsidTr="006472A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B02E58">
            <w:pPr>
              <w:numPr>
                <w:ilvl w:val="0"/>
                <w:numId w:val="21"/>
              </w:numPr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747F68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>Gwarantowany koszt rocznego, pełnego kontraktu serwisowego „GKRS” (wartość brutto, waluta PLN) zawierającego wszystkie koszty w tym robociznę oraz wszystkie części zamienne w tym lampę RTG i detektor, możliwego do zawarcia po upływie okresu gwarancyjnego, wiążący przez okres 5 lat  po upływie gwarancji</w:t>
            </w:r>
          </w:p>
          <w:p w:rsidR="006472AF" w:rsidRPr="007314E4" w:rsidRDefault="006472AF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*GKRS obejmuje 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7314E4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747F68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747F6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GKRS = …………………………………...,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747F68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6472AF" w:rsidRPr="007314E4" w:rsidRDefault="006472AF" w:rsidP="00747F68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„MAX” pkt. </w:t>
            </w:r>
          </w:p>
          <w:p w:rsidR="006472AF" w:rsidRPr="007314E4" w:rsidRDefault="006472AF" w:rsidP="00747F6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>Pozostałe proporcjonalnie*</w:t>
            </w:r>
          </w:p>
        </w:tc>
      </w:tr>
    </w:tbl>
    <w:p w:rsidR="008B45E3" w:rsidRPr="007314E4" w:rsidRDefault="00B02E58" w:rsidP="00B02E58">
      <w:pPr>
        <w:rPr>
          <w:rFonts w:ascii="Century Gothic" w:hAnsi="Century Gothic"/>
          <w:b/>
        </w:rPr>
      </w:pPr>
      <w:r w:rsidRPr="007314E4">
        <w:rPr>
          <w:rFonts w:ascii="Century Gothic" w:hAnsi="Century Gothic"/>
          <w:b/>
        </w:rPr>
        <w:t xml:space="preserve"> </w:t>
      </w:r>
    </w:p>
    <w:p w:rsidR="00DB683C" w:rsidRPr="007314E4" w:rsidRDefault="008B45E3" w:rsidP="000C52D0">
      <w:pPr>
        <w:spacing w:line="276" w:lineRule="auto"/>
        <w:rPr>
          <w:rFonts w:ascii="Century Gothic" w:hAnsi="Century Gothic"/>
          <w:i/>
        </w:rPr>
      </w:pPr>
      <w:r w:rsidRPr="007314E4">
        <w:rPr>
          <w:rFonts w:ascii="Century Gothic" w:hAnsi="Century Gothic"/>
          <w:b/>
        </w:rPr>
        <w:br w:type="column"/>
      </w:r>
      <w:r w:rsidR="00DB683C" w:rsidRPr="007314E4">
        <w:rPr>
          <w:rFonts w:ascii="Century Gothic" w:hAnsi="Century Gothic"/>
          <w:b/>
        </w:rPr>
        <w:lastRenderedPageBreak/>
        <w:t xml:space="preserve">Rozdział nr III – </w:t>
      </w:r>
      <w:r w:rsidR="00DB683C" w:rsidRPr="007314E4">
        <w:rPr>
          <w:rFonts w:ascii="Century Gothic" w:hAnsi="Century Gothic"/>
          <w:i/>
        </w:rPr>
        <w:t>dodatkowe informacje</w:t>
      </w:r>
    </w:p>
    <w:p w:rsidR="00DB683C" w:rsidRPr="007314E4" w:rsidRDefault="00DB683C" w:rsidP="000C52D0">
      <w:pPr>
        <w:spacing w:line="276" w:lineRule="auto"/>
        <w:rPr>
          <w:rFonts w:ascii="Century Gothic" w:hAnsi="Century Gothic"/>
          <w:i/>
        </w:rPr>
      </w:pPr>
    </w:p>
    <w:tbl>
      <w:tblPr>
        <w:tblW w:w="1516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0"/>
        <w:gridCol w:w="1133"/>
        <w:gridCol w:w="5529"/>
        <w:gridCol w:w="2268"/>
      </w:tblGrid>
      <w:tr w:rsidR="006F2A00" w:rsidRPr="007314E4" w:rsidTr="006F2A00">
        <w:tc>
          <w:tcPr>
            <w:tcW w:w="568" w:type="dxa"/>
            <w:vAlign w:val="center"/>
            <w:hideMark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5670" w:type="dxa"/>
            <w:vAlign w:val="center"/>
            <w:hideMark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  <w:t>Parametr</w:t>
            </w:r>
          </w:p>
        </w:tc>
        <w:tc>
          <w:tcPr>
            <w:tcW w:w="1133" w:type="dxa"/>
            <w:vAlign w:val="center"/>
            <w:hideMark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5529" w:type="dxa"/>
            <w:vAlign w:val="center"/>
            <w:hideMark/>
          </w:tcPr>
          <w:p w:rsidR="006F2A00" w:rsidRPr="007314E4" w:rsidRDefault="006F2A00" w:rsidP="009D72F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  <w:t>Parametr oferowany</w:t>
            </w:r>
          </w:p>
        </w:tc>
        <w:tc>
          <w:tcPr>
            <w:tcW w:w="2268" w:type="dxa"/>
            <w:vAlign w:val="center"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  <w:t>Nr strony oferty potwierdzającej parametr oferowany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0C52D0">
            <w:pPr>
              <w:spacing w:before="40" w:after="40" w:line="276" w:lineRule="auto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0C52D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b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Dokumentacja załączona do oferty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0C52D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9D72F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Wymagane do oferty dokumenty poświad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czające dopuszczenie do obrotu oferowa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nych wyrobów, w tym co najmniej: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ab/>
              <w:t xml:space="preserve">–  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>deklaracja zgodności,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ab/>
              <w:t xml:space="preserve">–  certyfikat CE </w:t>
            </w:r>
            <w:r w:rsidRPr="007314E4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– wymagany tylko w przypadku gdy przedmiot zamówienia jest wyrobem medycznym zakwalifikowanym do klasy: I sterylna, I z funkcją pomiarową, IIA, IIB, III zgodnie z ustawą z dnia 20 maja 2010r. o wyrobach medycznych (Dz.U.2020.0.186) oraz ROZPORZĄDZENIA PARLAMENTU EUROPEJSKIEGO I RADY (UE) 2017/745 z dnia 5 kwietnia 2017 r. w sprawie wyrobów medycznych, zmiany dyrektywy 2001/83/WE, rozporządzenia (WE) nr 178/2002 i rozporządzenia (WE) nr 1223/2009 oraz uchylenia dyrektyw Rady 90/385/EWG i 93/42/EWG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ab/>
              <w:t>– zgłoszenie wyrobu medycznego jeżeli klasa wyrobu na to wskazuje do Prezesa Urzędu Rejestracji Produktów Leczniczych, Wyrobów Medycznych i Produktów Biobój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czych lub powiadomienie Prezesa Urzędu Re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jestracji Produktów Leczniczych, Wyrobów Medycznych i Produktów Biobójczych o wprowadzeniu wyrobu medycznego do uży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 xml:space="preserve">wania </w:t>
            </w:r>
            <w:r w:rsidRPr="007314E4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(ustawa z dnia 20 maja 2010r. o wyro</w:t>
            </w:r>
            <w:r w:rsidRPr="007314E4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softHyphen/>
              <w:t xml:space="preserve">bach medycznych (Dz.U.2020.0.186) oraz ROZPORZĄDZENIA PARLAMENTU EUROPEJSKIEGO I RADY (UE) 2017/745 z dnia 5 kwietnia 2017 r. w sprawie wyrobów medycznych, zmiany dyrektywy 2001/83/WE, rozporządzenia (WE) nr 178/2002 i rozporządzenia </w:t>
            </w:r>
            <w:r w:rsidRPr="007314E4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lastRenderedPageBreak/>
              <w:t>(WE) nr 1223/2009 oraz uchylenia dyrektyw Rady 90/385/EWG i 93/42/EWG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7314E4">
              <w:rPr>
                <w:rFonts w:ascii="Century Gothic" w:hAnsi="Century Gothic"/>
                <w:color w:val="000000"/>
                <w:sz w:val="16"/>
                <w:szCs w:val="18"/>
              </w:rPr>
              <w:t>*</w:t>
            </w:r>
            <w:r w:rsidRPr="007314E4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 xml:space="preserve"> Deklaracja zgodności i certyfikat CE na cały przedmiot zamówienia, nie na części składowe, zgodna z aktualnie obowiązującym prawem (w tym dyrektywy UE)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napToGrid w:val="0"/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lastRenderedPageBreak/>
              <w:t>Tak, podać i załączyć do oferty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Podać stronę oferty ze scanem dokumentów:</w:t>
            </w:r>
          </w:p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pStyle w:val="Akapitzlist"/>
              <w:ind w:left="0"/>
              <w:rPr>
                <w:rFonts w:ascii="Century Gothic" w:hAnsi="Century Gothic"/>
                <w:color w:val="000000" w:themeColor="text1"/>
                <w:szCs w:val="16"/>
                <w:lang w:val="pl-PL"/>
              </w:rPr>
            </w:pPr>
            <w:r w:rsidRPr="007314E4">
              <w:rPr>
                <w:rFonts w:ascii="Century Gothic" w:hAnsi="Century Gothic"/>
                <w:color w:val="000000" w:themeColor="text1"/>
                <w:szCs w:val="16"/>
                <w:lang w:val="pl-PL"/>
              </w:rPr>
              <w:t>Dane techniczne urządzenia (parametry promieniowania, filtracji, itp.)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napToGrid w:val="0"/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załączyć do oferty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Podać stronę oferty ze scanem dokumentów:</w:t>
            </w:r>
          </w:p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Struktura serwisowa gwarantująca realizację wymogów stawianych w niniejszej specyfikacji – należy podać wykaz serwisów i/lub serwisantów posiadających uprawnienia do obsługi serwisowej oferowanych urządzeń (należy podać dane teleadresowe, sposób kontaktu i liczbę osób serwisu własnego lub podwykonawcy posiadającego uprawnienia do tego typu działalności)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podać i wskazać podmioty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Podać stronę oferty ze scanem dokumentów:</w:t>
            </w:r>
          </w:p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b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Dokumentacja załączona po ocenie ofert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Potwierdzenie parametrów </w:t>
            </w:r>
            <w:r w:rsidRPr="007314E4">
              <w:rPr>
                <w:rFonts w:ascii="Century Gothic" w:hAnsi="Century Gothic"/>
                <w:color w:val="000000"/>
                <w:sz w:val="20"/>
              </w:rPr>
              <w:t>technicznych od</w:t>
            </w:r>
            <w:r w:rsidRPr="007314E4">
              <w:rPr>
                <w:rFonts w:ascii="Century Gothic" w:hAnsi="Century Gothic"/>
                <w:color w:val="000000"/>
                <w:sz w:val="20"/>
              </w:rPr>
              <w:softHyphen/>
              <w:t>powiednimi skanami instrukcji obsługi, instrukcji serwisowej, kart katalogowych lub ska</w:t>
            </w:r>
            <w:r w:rsidRPr="007314E4">
              <w:rPr>
                <w:rFonts w:ascii="Century Gothic" w:hAnsi="Century Gothic"/>
                <w:color w:val="000000"/>
                <w:sz w:val="20"/>
              </w:rPr>
              <w:softHyphen/>
              <w:t>nami broszur w języku polskim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przez Wykonawcę, którego oferta została oceniona najwyżej. </w:t>
            </w:r>
          </w:p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16"/>
              </w:rPr>
              <w:t xml:space="preserve">UWAGA 1 </w:t>
            </w:r>
            <w:r w:rsidRPr="007314E4">
              <w:rPr>
                <w:rFonts w:ascii="Century Gothic" w:hAnsi="Century Gothic"/>
                <w:color w:val="000000"/>
                <w:sz w:val="16"/>
              </w:rPr>
              <w:t>– w przypadku braku dokumentu w języku polskim należy załączyć dokument w języku obcym wraz z jego tłumaczeniem,,</w:t>
            </w:r>
          </w:p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16"/>
              </w:rPr>
              <w:t xml:space="preserve">UWAGA 2 </w:t>
            </w:r>
            <w:r w:rsidRPr="007314E4">
              <w:rPr>
                <w:rFonts w:ascii="Century Gothic" w:hAnsi="Century Gothic"/>
                <w:color w:val="000000"/>
                <w:sz w:val="16"/>
              </w:rPr>
              <w:t>– w przypadku braku możliwości potwierdzenia któregokolwiek z parametrów z rozdz. I skanami instrukcji obsługi, instrukcji serwisowej, kart katalogowych lub skanami broszur Zamawiający dopuszcza aby te parametry zostały potwierdzone oświadczeniem producenta lub autoryzowanego na terenie Rzeczypospolitej Polskiej przedstawiciela producenta</w:t>
            </w:r>
          </w:p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16"/>
              </w:rPr>
              <w:t xml:space="preserve">UWAGA 3 – </w:t>
            </w:r>
            <w:r w:rsidRPr="007314E4">
              <w:rPr>
                <w:rFonts w:ascii="Century Gothic" w:hAnsi="Century Gothic"/>
                <w:color w:val="000000"/>
                <w:sz w:val="16"/>
              </w:rPr>
              <w:t>Zamawiający wymaga aby na po</w:t>
            </w:r>
            <w:r w:rsidRPr="007314E4">
              <w:rPr>
                <w:rFonts w:ascii="Century Gothic" w:hAnsi="Century Gothic"/>
                <w:color w:val="000000"/>
                <w:sz w:val="16"/>
              </w:rPr>
              <w:softHyphen/>
              <w:t xml:space="preserve">twierdzeniach parametrów technicznych znajdowały się odnośniki do konkretnego </w:t>
            </w:r>
            <w:r w:rsidRPr="007314E4">
              <w:rPr>
                <w:rFonts w:ascii="Century Gothic" w:hAnsi="Century Gothic"/>
                <w:color w:val="000000"/>
                <w:sz w:val="16"/>
              </w:rPr>
              <w:lastRenderedPageBreak/>
              <w:t xml:space="preserve">parametru z załącznika nr 2 w następującej postaci: </w:t>
            </w:r>
            <w:r w:rsidRPr="007314E4">
              <w:rPr>
                <w:rFonts w:ascii="Century Gothic" w:hAnsi="Century Gothic"/>
                <w:b/>
                <w:color w:val="FF0000"/>
                <w:sz w:val="16"/>
              </w:rPr>
              <w:t>l.p. nr parametru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 xml:space="preserve">Dokumentacja załączona przy dostawie 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Instrukcja obsługi w języku polskim w </w:t>
            </w: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wersji papie</w:t>
            </w: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softHyphen/>
              <w:t>rowej i elektronicznej na płycie CD/DVD lub innym nośniku (format PDF)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– dotyczy także urządzeń peryferyjnych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 urządzeniem wykonawca dostarczy paszporty techniczne zawierający co najmniej takie dane jak: nazwa, typ (model), producent, rok produkcji, numer seryjny (fabryczny), inne istotne informacje (np. części składowe, istotne wyposażenie, oprogramowanie), kody z aktualnie obowiązującego słownika NFZ (o ile występują) osobno dla każdego wyrobu medycznego, w tym: tomografu komputerowego z wyposażeniem (w skład wyposażenia min. konsola operatorska i serwer aplikacyjny – 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u w:val="single"/>
                <w:lang w:eastAsia="en-US"/>
              </w:rPr>
              <w:t>w przypadku dostawy nowego serwera aplikacyjnego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), wstrzykiwacz kontrastu, monitor EKG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CF457F">
            <w:pPr>
              <w:pStyle w:val="Nagwek1"/>
              <w:tabs>
                <w:tab w:val="num" w:pos="0"/>
              </w:tabs>
              <w:suppressAutoHyphens w:val="0"/>
              <w:spacing w:line="276" w:lineRule="auto"/>
              <w:jc w:val="both"/>
              <w:rPr>
                <w:rFonts w:ascii="Century Gothic" w:hAnsi="Century Gothic" w:cs="Arial"/>
                <w:b w:val="0"/>
                <w:bCs w:val="0"/>
                <w:iCs/>
                <w:sz w:val="20"/>
                <w:szCs w:val="18"/>
              </w:rPr>
            </w:pPr>
            <w:r w:rsidRPr="007314E4">
              <w:rPr>
                <w:rFonts w:ascii="Century Gothic" w:hAnsi="Century Gothic" w:cs="Arial"/>
                <w:b w:val="0"/>
                <w:iCs/>
                <w:color w:val="000000"/>
                <w:sz w:val="20"/>
                <w:szCs w:val="18"/>
              </w:rPr>
              <w:t>Przygotowanie i dostarczenie do siedziby Zamawiającego kompletu dokumentów i testów, których wyko</w:t>
            </w:r>
            <w:r w:rsidRPr="007314E4">
              <w:rPr>
                <w:rFonts w:ascii="Century Gothic" w:hAnsi="Century Gothic" w:cs="Arial"/>
                <w:b w:val="0"/>
                <w:iCs/>
                <w:color w:val="000000"/>
                <w:sz w:val="20"/>
                <w:szCs w:val="18"/>
              </w:rPr>
              <w:softHyphen/>
              <w:t>nanie zgodnie z obowiązującymi przepisami leży po stronie dostawcy, a które są nie</w:t>
            </w:r>
            <w:r w:rsidRPr="007314E4">
              <w:rPr>
                <w:rFonts w:ascii="Century Gothic" w:hAnsi="Century Gothic" w:cs="Arial"/>
                <w:b w:val="0"/>
                <w:iCs/>
                <w:color w:val="000000"/>
                <w:sz w:val="20"/>
                <w:szCs w:val="18"/>
              </w:rPr>
              <w:softHyphen/>
              <w:t>zbędne do odbioru pracowni i urządzenia przez uprawnione instytucje</w:t>
            </w:r>
            <w:r w:rsidR="00CF457F">
              <w:rPr>
                <w:rFonts w:ascii="Century Gothic" w:hAnsi="Century Gothic" w:cs="Arial"/>
                <w:b w:val="0"/>
                <w:iCs/>
                <w:color w:val="FF0000"/>
                <w:sz w:val="20"/>
                <w:szCs w:val="18"/>
              </w:rPr>
              <w:t>, w tym uzgodniony</w:t>
            </w:r>
            <w:r w:rsidR="007378D8">
              <w:rPr>
                <w:rFonts w:ascii="Century Gothic" w:hAnsi="Century Gothic" w:cs="Arial"/>
                <w:b w:val="0"/>
                <w:iCs/>
                <w:color w:val="FF0000"/>
                <w:sz w:val="20"/>
                <w:szCs w:val="18"/>
              </w:rPr>
              <w:t xml:space="preserve"> i zatwierdzony projekt</w:t>
            </w:r>
            <w:r w:rsidR="007378D8" w:rsidRPr="007378D8">
              <w:rPr>
                <w:rFonts w:ascii="Century Gothic" w:hAnsi="Century Gothic" w:cs="Arial"/>
                <w:b w:val="0"/>
                <w:iCs/>
                <w:color w:val="FF0000"/>
                <w:sz w:val="20"/>
                <w:szCs w:val="18"/>
              </w:rPr>
              <w:t xml:space="preserve"> ochrony radiologicznej przez właściwego Wojewódzkiego Ins</w:t>
            </w:r>
            <w:r w:rsidR="007378D8">
              <w:rPr>
                <w:rFonts w:ascii="Century Gothic" w:hAnsi="Century Gothic" w:cs="Arial"/>
                <w:b w:val="0"/>
                <w:iCs/>
                <w:color w:val="FF0000"/>
                <w:sz w:val="20"/>
                <w:szCs w:val="18"/>
              </w:rPr>
              <w:t>pektora Sanitarnego oraz decyzję dopuszczającą</w:t>
            </w:r>
            <w:r w:rsidR="007378D8" w:rsidRPr="007378D8">
              <w:rPr>
                <w:rFonts w:ascii="Century Gothic" w:hAnsi="Century Gothic" w:cs="Arial"/>
                <w:b w:val="0"/>
                <w:iCs/>
                <w:color w:val="FF0000"/>
                <w:sz w:val="20"/>
                <w:szCs w:val="18"/>
              </w:rPr>
              <w:t xml:space="preserve"> Pracownię RTG do użytkowania</w:t>
            </w:r>
            <w:r w:rsidRPr="007314E4">
              <w:rPr>
                <w:rFonts w:ascii="Century Gothic" w:hAnsi="Century Gothic" w:cs="Arial"/>
                <w:b w:val="0"/>
                <w:iCs/>
                <w:color w:val="000000"/>
                <w:sz w:val="20"/>
                <w:szCs w:val="18"/>
              </w:rPr>
              <w:t xml:space="preserve"> – </w:t>
            </w:r>
            <w:r w:rsidRPr="007314E4">
              <w:rPr>
                <w:rFonts w:ascii="Century Gothic" w:hAnsi="Century Gothic" w:cs="Arial"/>
                <w:b w:val="0"/>
                <w:iCs/>
                <w:color w:val="000000"/>
                <w:sz w:val="20"/>
                <w:szCs w:val="18"/>
                <w:u w:val="single"/>
              </w:rPr>
              <w:t>wymienić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FF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Dokumentacja (lub tzw. lista kontrolna zawierająca wykaz części i czynności) dotycząca okresowych przeglądów technicznych w języku polskim</w:t>
            </w: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 xml:space="preserve">, która </w:t>
            </w: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lastRenderedPageBreak/>
              <w:t>zostanie zaktualizowana w ostatnim dniu gwarancji.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</w:pPr>
          </w:p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UWAGA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- dokumentacja musi zapewnić co najmniej pełną diagnostykę urządzenia, wykonywanie drobnych napraw, regulacji, kalibracji, oraz przeglądów okresowych w standardzie wymaganym przez producenta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Harmonogram lub częstotliwość wymaganych przez producenta przeglądów lub innej obsługi serwisowej 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Stanowiskową instrukcję BHP (§41. Rozporządzenia Ministra Pracy i Polityki Socjalnej z dnia 26 września 1997 r. w sprawie ogólnych przepisów bezpieczeństwa i higieny pracy Dz.U. 1997 nr 129 poz. 844) z późniejszymi zmianami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Instrukcja konserwacji, mycia, dezynfekcji i sterylizacji dla poszczególnych elementów aparatów.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>TAK, podać i zał.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Możliwość mycia i dezynfekcji poszczególnych elementów aparatów w oparciu o przedsta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wione przez wykonawcę zalecane preparaty myjące i dezynfekujące.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16"/>
                <w:szCs w:val="22"/>
              </w:rPr>
              <w:t>UWAGA</w:t>
            </w:r>
            <w:r w:rsidRPr="007314E4">
              <w:rPr>
                <w:rFonts w:ascii="Century Gothic" w:hAnsi="Century Gothic"/>
                <w:color w:val="000000"/>
                <w:sz w:val="16"/>
                <w:szCs w:val="22"/>
              </w:rPr>
              <w:t xml:space="preserve"> – zalecane środki powinny zawierać nazwy związków chemicznych, a nie tylko na</w:t>
            </w:r>
            <w:r w:rsidRPr="007314E4">
              <w:rPr>
                <w:rFonts w:ascii="Century Gothic" w:hAnsi="Century Gothic"/>
                <w:color w:val="000000"/>
                <w:sz w:val="16"/>
                <w:szCs w:val="22"/>
              </w:rPr>
              <w:softHyphen/>
              <w:t>zwy handlowe preparatów.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>TAK, podać i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snapToGrid w:val="0"/>
              <w:spacing w:line="276" w:lineRule="auto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Cs/>
                <w:sz w:val="20"/>
                <w:szCs w:val="20"/>
              </w:rPr>
              <w:t xml:space="preserve">Projekt osłon radiologicznych, 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napToGrid w:val="0"/>
              <w:spacing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uppressAutoHyphens/>
              <w:spacing w:before="40" w:after="4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b/>
                <w:sz w:val="20"/>
                <w:szCs w:val="20"/>
                <w:lang w:eastAsia="zh-CN"/>
              </w:rPr>
              <w:t>Inne dokumenty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96495F" w:rsidRDefault="0096495F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96495F">
              <w:rPr>
                <w:rFonts w:ascii="Century Gothic" w:eastAsia="Calibri" w:hAnsi="Century Gothic" w:cs="Calibri"/>
                <w:sz w:val="20"/>
                <w:lang w:eastAsia="zh-CN"/>
              </w:rPr>
              <w:t xml:space="preserve">Przedstawienie min. 5 różnych wizualizacji (dla każdego </w:t>
            </w:r>
            <w:r w:rsidRPr="0096495F">
              <w:rPr>
                <w:rFonts w:ascii="Century Gothic" w:eastAsia="Calibri" w:hAnsi="Century Gothic" w:cs="Calibri"/>
                <w:sz w:val="20"/>
                <w:lang w:eastAsia="zh-CN"/>
              </w:rPr>
              <w:lastRenderedPageBreak/>
              <w:t xml:space="preserve">pomieszczenia)  nowotworzonej pracowni </w:t>
            </w:r>
            <w:r w:rsidRPr="0096495F">
              <w:rPr>
                <w:rFonts w:ascii="Century Gothic" w:eastAsia="Calibri" w:hAnsi="Century Gothic" w:cs="Calibri"/>
                <w:strike/>
                <w:color w:val="FF0000"/>
                <w:sz w:val="20"/>
                <w:lang w:eastAsia="zh-CN"/>
              </w:rPr>
              <w:t>Rezonansu magnetycznego</w:t>
            </w:r>
            <w:r w:rsidRPr="0096495F">
              <w:rPr>
                <w:rFonts w:ascii="Century Gothic" w:eastAsia="Calibri" w:hAnsi="Century Gothic" w:cs="Calibri"/>
                <w:color w:val="FF0000"/>
                <w:sz w:val="20"/>
                <w:lang w:eastAsia="zh-CN"/>
              </w:rPr>
              <w:t xml:space="preserve">  Tomografii Komputerowej </w:t>
            </w:r>
            <w:r w:rsidRPr="0096495F">
              <w:rPr>
                <w:rFonts w:ascii="Century Gothic" w:eastAsia="Calibri" w:hAnsi="Century Gothic" w:cs="Calibri"/>
                <w:sz w:val="20"/>
                <w:lang w:eastAsia="zh-CN"/>
              </w:rPr>
              <w:t>przed rozpoczęciem prac budowlanych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 xml:space="preserve">TAK, podać </w:t>
            </w: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i załączyć przed przystąpieniem do realizacji zamówienia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snapToGrid w:val="0"/>
              <w:spacing w:line="276" w:lineRule="auto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Wykonanie testów akceptacyjnych po zainstalowaniu urządzenia– </w:t>
            </w:r>
            <w:r w:rsidRPr="007314E4">
              <w:rPr>
                <w:rFonts w:ascii="Century Gothic" w:hAnsi="Century Gothic" w:cs="Arial Narrow"/>
                <w:bCs/>
                <w:sz w:val="20"/>
                <w:szCs w:val="20"/>
              </w:rPr>
              <w:t>zawarte w cenie oferty, ponadto: testy specjalistyczne, pomiary mocy dawki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napToGrid w:val="0"/>
              <w:spacing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dostarczenie wyników najpóźniej 7 dni od dostawy urządzenia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uppressAutoHyphens/>
              <w:spacing w:before="40" w:after="4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 xml:space="preserve">Szkolenia 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sz w:val="20"/>
                <w:szCs w:val="18"/>
              </w:rPr>
            </w:pPr>
            <w:r w:rsidRPr="007314E4">
              <w:rPr>
                <w:rFonts w:ascii="Century Gothic" w:hAnsi="Century Gothic"/>
                <w:sz w:val="20"/>
                <w:szCs w:val="18"/>
              </w:rPr>
              <w:t>Szkolenia dla personelu  medycznego z zakresu obsługi podstawowej urządzenia (min. 2 osoby dla szkolenia podstawowego oraz min. 10 osób w trakcie uruchamiania pracowni)</w:t>
            </w:r>
          </w:p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sz w:val="20"/>
                <w:szCs w:val="18"/>
              </w:rPr>
              <w:t>Szkolenie aplikacyjne potwierdzone wydaniem imiennego certyfikatu dla każdej osoby uczestniczącej w szkoleniu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20B5B" w:rsidRPr="007314E4" w:rsidTr="006F2A00">
        <w:tc>
          <w:tcPr>
            <w:tcW w:w="568" w:type="dxa"/>
            <w:vAlign w:val="center"/>
          </w:tcPr>
          <w:p w:rsidR="00520B5B" w:rsidRPr="00520B5B" w:rsidRDefault="00520B5B" w:rsidP="00520B5B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trike/>
                <w:color w:val="FF0000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520B5B" w:rsidRPr="00520B5B" w:rsidRDefault="00520B5B" w:rsidP="00520B5B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strike/>
                <w:color w:val="FF0000"/>
                <w:sz w:val="20"/>
              </w:rPr>
            </w:pPr>
            <w:r w:rsidRPr="00520B5B">
              <w:rPr>
                <w:rFonts w:ascii="Century Gothic" w:hAnsi="Century Gothic"/>
                <w:strike/>
                <w:color w:val="FF0000"/>
                <w:sz w:val="20"/>
                <w:szCs w:val="22"/>
              </w:rPr>
              <w:t>Wyjazdowe szkolenie w ośrodku referencyjnym po podpisaniu umowy a przed dostawą aparatu  dla min 4 techników oraz 4 lekarzy min. 5 dni dla każdego w ustalonym przez zamawiającego terminie lub inna adekwatna ilość osobodni.</w:t>
            </w:r>
          </w:p>
          <w:p w:rsidR="00520B5B" w:rsidRPr="00520B5B" w:rsidRDefault="00520B5B" w:rsidP="00520B5B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strike/>
                <w:color w:val="FF0000"/>
                <w:sz w:val="20"/>
              </w:rPr>
            </w:pPr>
            <w:r w:rsidRPr="00520B5B">
              <w:rPr>
                <w:rFonts w:ascii="Century Gothic" w:hAnsi="Century Gothic"/>
                <w:strike/>
                <w:color w:val="FF0000"/>
                <w:sz w:val="20"/>
                <w:szCs w:val="22"/>
              </w:rPr>
              <w:t>Po uruchomieniu wyjazdowe szkolenie w ośrodku referencyjnym lub podczas szkolenia/konferencji    dla techników i lekarzy po 5 dni dla 5 lekarzy i pięciu techników lub adekwatna ilość osobodni.</w:t>
            </w:r>
          </w:p>
        </w:tc>
        <w:tc>
          <w:tcPr>
            <w:tcW w:w="1133" w:type="dxa"/>
            <w:vAlign w:val="center"/>
          </w:tcPr>
          <w:p w:rsidR="00520B5B" w:rsidRPr="00520B5B" w:rsidRDefault="00520B5B" w:rsidP="00520B5B">
            <w:pPr>
              <w:spacing w:before="60" w:after="6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lang w:eastAsia="zh-CN"/>
              </w:rPr>
            </w:pPr>
            <w:r w:rsidRPr="00520B5B">
              <w:rPr>
                <w:rFonts w:ascii="Century Gothic" w:hAnsi="Century Gothic"/>
                <w:strike/>
                <w:color w:val="FF0000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vAlign w:val="center"/>
          </w:tcPr>
          <w:p w:rsidR="00520B5B" w:rsidRPr="00520B5B" w:rsidRDefault="00520B5B" w:rsidP="00520B5B">
            <w:pPr>
              <w:spacing w:before="40" w:after="40" w:line="276" w:lineRule="auto"/>
              <w:jc w:val="both"/>
              <w:rPr>
                <w:rFonts w:ascii="Century Gothic" w:hAnsi="Century Gothic" w:cs="Calibri"/>
                <w:strike/>
                <w:color w:val="FF0000"/>
                <w:sz w:val="20"/>
                <w:szCs w:val="20"/>
                <w:lang w:eastAsia="zh-CN"/>
              </w:rPr>
            </w:pPr>
            <w:bookmarkStart w:id="1" w:name="_GoBack"/>
            <w:bookmarkEnd w:id="1"/>
          </w:p>
        </w:tc>
        <w:tc>
          <w:tcPr>
            <w:tcW w:w="2268" w:type="dxa"/>
            <w:vAlign w:val="center"/>
          </w:tcPr>
          <w:p w:rsidR="00520B5B" w:rsidRPr="00520B5B" w:rsidRDefault="00520B5B" w:rsidP="00520B5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trike/>
                <w:color w:val="FF0000"/>
                <w:sz w:val="16"/>
                <w:szCs w:val="16"/>
                <w:lang w:eastAsia="zh-CN"/>
              </w:rPr>
            </w:pPr>
            <w:r w:rsidRPr="00520B5B">
              <w:rPr>
                <w:rFonts w:ascii="Century Gothic" w:hAnsi="Century Gothic" w:cs="Calibri"/>
                <w:strike/>
                <w:color w:val="FF0000"/>
                <w:sz w:val="16"/>
                <w:szCs w:val="16"/>
                <w:lang w:eastAsia="zh-CN"/>
              </w:rPr>
              <w:t>Nie dotyczy</w:t>
            </w:r>
          </w:p>
        </w:tc>
      </w:tr>
      <w:tr w:rsidR="00520B5B" w:rsidRPr="007314E4" w:rsidTr="006F2A00">
        <w:tc>
          <w:tcPr>
            <w:tcW w:w="568" w:type="dxa"/>
            <w:vAlign w:val="center"/>
          </w:tcPr>
          <w:p w:rsidR="00520B5B" w:rsidRPr="007314E4" w:rsidRDefault="00520B5B" w:rsidP="00520B5B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520B5B" w:rsidRPr="007314E4" w:rsidRDefault="00520B5B" w:rsidP="00520B5B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Szkolenia dla personelu technicznego (do 5 osób) z 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lastRenderedPageBreak/>
              <w:t>zakresu podstawowej diagnostyki stanu technicznego i wykonywania podstawowych czynności konserwacyjnych, naprawczych i przeglądowych; w razie potrzeby możliwość stałego wsparcia aplikacyjnego w okresie gwarancji urządzeń (dodatkowe szkolenie, dodatkowa grupa osób, konsultacje, itp.)</w:t>
            </w:r>
          </w:p>
        </w:tc>
        <w:tc>
          <w:tcPr>
            <w:tcW w:w="1133" w:type="dxa"/>
            <w:vAlign w:val="center"/>
          </w:tcPr>
          <w:p w:rsidR="00520B5B" w:rsidRPr="007314E4" w:rsidRDefault="00520B5B" w:rsidP="00520B5B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lastRenderedPageBreak/>
              <w:t xml:space="preserve">TAK, </w:t>
            </w:r>
            <w:r w:rsidRPr="00335719">
              <w:rPr>
                <w:rFonts w:ascii="Century Gothic" w:hAnsi="Century Gothic"/>
                <w:strike/>
                <w:color w:val="FF0000"/>
                <w:sz w:val="16"/>
                <w:lang w:eastAsia="zh-CN"/>
              </w:rPr>
              <w:t xml:space="preserve">podać </w:t>
            </w:r>
          </w:p>
        </w:tc>
        <w:tc>
          <w:tcPr>
            <w:tcW w:w="5529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20B5B" w:rsidRPr="007314E4" w:rsidTr="006F2A00">
        <w:tc>
          <w:tcPr>
            <w:tcW w:w="568" w:type="dxa"/>
            <w:vAlign w:val="center"/>
          </w:tcPr>
          <w:p w:rsidR="00520B5B" w:rsidRPr="007314E4" w:rsidRDefault="00520B5B" w:rsidP="00520B5B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Liczba i okres szkoleń na miejscu u Zamawiającego w terminie z nim ustalonym </w:t>
            </w:r>
            <w:r w:rsidRPr="00AF251D">
              <w:rPr>
                <w:rFonts w:ascii="Century Gothic" w:eastAsia="Calibri" w:hAnsi="Century Gothic" w:cs="Calibri"/>
                <w:strike/>
                <w:color w:val="FF0000"/>
                <w:sz w:val="20"/>
                <w:szCs w:val="20"/>
                <w:lang w:eastAsia="zh-CN"/>
              </w:rPr>
              <w:t>20</w:t>
            </w:r>
            <w:r w:rsidRPr="00AF251D">
              <w:rPr>
                <w:rFonts w:ascii="Century Gothic" w:eastAsia="Calibri" w:hAnsi="Century Gothic" w:cs="Calibri"/>
                <w:color w:val="FF0000"/>
                <w:sz w:val="20"/>
                <w:szCs w:val="20"/>
                <w:lang w:eastAsia="zh-CN"/>
              </w:rPr>
              <w:t xml:space="preserve"> 12</w:t>
            </w:r>
            <w:r w:rsidRPr="00AF251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 </w:t>
            </w: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dni po 8 godzin dla techników i lekarzy :</w:t>
            </w:r>
          </w:p>
          <w:p w:rsidR="00520B5B" w:rsidRPr="007314E4" w:rsidRDefault="00520B5B" w:rsidP="00520B5B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- pierwsze szkolenie - tuż po instalacji systemu, w wymiarze do 5 dni roboczych </w:t>
            </w:r>
          </w:p>
          <w:p w:rsidR="00520B5B" w:rsidRPr="007314E4" w:rsidRDefault="00520B5B" w:rsidP="00520B5B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- dodatkowe, w razie potrzeby, w innym terminie ustalonym  z kierownikiem pracowni,</w:t>
            </w:r>
          </w:p>
        </w:tc>
        <w:tc>
          <w:tcPr>
            <w:tcW w:w="1133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</w:t>
            </w:r>
          </w:p>
        </w:tc>
        <w:tc>
          <w:tcPr>
            <w:tcW w:w="5529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20B5B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520B5B" w:rsidRPr="007314E4" w:rsidRDefault="00520B5B" w:rsidP="00520B5B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>Inne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520B5B" w:rsidRPr="007314E4" w:rsidRDefault="00520B5B" w:rsidP="00520B5B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520B5B" w:rsidRPr="007314E4" w:rsidRDefault="00520B5B" w:rsidP="00520B5B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520B5B" w:rsidRPr="007314E4" w:rsidTr="006F2A00">
        <w:tc>
          <w:tcPr>
            <w:tcW w:w="568" w:type="dxa"/>
            <w:vAlign w:val="center"/>
          </w:tcPr>
          <w:p w:rsidR="00520B5B" w:rsidRPr="007314E4" w:rsidRDefault="00520B5B" w:rsidP="00520B5B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520B5B" w:rsidRPr="007314E4" w:rsidRDefault="00520B5B" w:rsidP="00520B5B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Możliwość uzyskania (potwierdzonych certyfikatem) częściowych uprawnień serwisowych przez personel techniczny</w:t>
            </w:r>
          </w:p>
        </w:tc>
        <w:tc>
          <w:tcPr>
            <w:tcW w:w="1133" w:type="dxa"/>
            <w:vAlign w:val="center"/>
          </w:tcPr>
          <w:p w:rsidR="00520B5B" w:rsidRPr="007314E4" w:rsidRDefault="00520B5B" w:rsidP="00520B5B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podać</w:t>
            </w:r>
          </w:p>
        </w:tc>
        <w:tc>
          <w:tcPr>
            <w:tcW w:w="5529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20B5B" w:rsidRPr="007314E4" w:rsidTr="006F2A00">
        <w:tc>
          <w:tcPr>
            <w:tcW w:w="568" w:type="dxa"/>
            <w:vAlign w:val="center"/>
          </w:tcPr>
          <w:p w:rsidR="00520B5B" w:rsidRPr="007314E4" w:rsidRDefault="00520B5B" w:rsidP="00520B5B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520B5B" w:rsidRPr="007314E4" w:rsidRDefault="00520B5B" w:rsidP="00520B5B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W cenie urządzenia znajduje się komplet ak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cesoriów, okablowania itp. asortymentu nie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zbędnego do uruchomienia i funkcjonowania aparatu jako całości w wymaganej specyfi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kacją konfiguracji</w:t>
            </w:r>
          </w:p>
        </w:tc>
        <w:tc>
          <w:tcPr>
            <w:tcW w:w="1133" w:type="dxa"/>
            <w:vAlign w:val="center"/>
          </w:tcPr>
          <w:p w:rsidR="00520B5B" w:rsidRPr="007314E4" w:rsidRDefault="00520B5B" w:rsidP="00520B5B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20B5B" w:rsidRPr="007314E4" w:rsidTr="006F2A00">
        <w:tc>
          <w:tcPr>
            <w:tcW w:w="568" w:type="dxa"/>
            <w:vAlign w:val="center"/>
          </w:tcPr>
          <w:p w:rsidR="00520B5B" w:rsidRPr="007314E4" w:rsidRDefault="00520B5B" w:rsidP="00520B5B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520B5B" w:rsidRPr="007314E4" w:rsidRDefault="00520B5B" w:rsidP="00520B5B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Spełnienie wymogów obowiązującego prawa w tym ustawy o wyrobach medycznych</w:t>
            </w:r>
          </w:p>
        </w:tc>
        <w:tc>
          <w:tcPr>
            <w:tcW w:w="1133" w:type="dxa"/>
            <w:vAlign w:val="center"/>
          </w:tcPr>
          <w:p w:rsidR="00520B5B" w:rsidRPr="007314E4" w:rsidRDefault="00520B5B" w:rsidP="00520B5B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20B5B" w:rsidRPr="007314E4" w:rsidTr="006F2A00">
        <w:tc>
          <w:tcPr>
            <w:tcW w:w="568" w:type="dxa"/>
            <w:vAlign w:val="center"/>
          </w:tcPr>
          <w:p w:rsidR="00520B5B" w:rsidRPr="007314E4" w:rsidRDefault="00520B5B" w:rsidP="00520B5B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520B5B" w:rsidRPr="007314E4" w:rsidRDefault="00520B5B" w:rsidP="00520B5B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t>Transport krajowy i zagraniczny wraz z ubezpie</w:t>
            </w: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czeniem, wszelkie opłaty celne, skar</w:t>
            </w: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bowe oraz inne opłaty pośrednie po stronie wykonawcy</w:t>
            </w:r>
          </w:p>
        </w:tc>
        <w:tc>
          <w:tcPr>
            <w:tcW w:w="1133" w:type="dxa"/>
            <w:vAlign w:val="center"/>
          </w:tcPr>
          <w:p w:rsidR="00520B5B" w:rsidRPr="007314E4" w:rsidRDefault="00520B5B" w:rsidP="00520B5B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20B5B" w:rsidRPr="007314E4" w:rsidTr="006F2A00">
        <w:tc>
          <w:tcPr>
            <w:tcW w:w="568" w:type="dxa"/>
            <w:vAlign w:val="center"/>
          </w:tcPr>
          <w:p w:rsidR="00520B5B" w:rsidRPr="007314E4" w:rsidRDefault="00520B5B" w:rsidP="00520B5B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520B5B" w:rsidRPr="007314E4" w:rsidRDefault="00520B5B" w:rsidP="00520B5B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t>Wykonawca sam przygotuje odpowiednie po</w:t>
            </w: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</w: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lastRenderedPageBreak/>
              <w:t>mieszczenie dla serwerów obsługujących aparaty i stacje</w:t>
            </w:r>
          </w:p>
        </w:tc>
        <w:tc>
          <w:tcPr>
            <w:tcW w:w="1133" w:type="dxa"/>
            <w:vAlign w:val="center"/>
          </w:tcPr>
          <w:p w:rsidR="00520B5B" w:rsidRPr="007314E4" w:rsidRDefault="00520B5B" w:rsidP="00520B5B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lastRenderedPageBreak/>
              <w:t xml:space="preserve">TAK </w:t>
            </w:r>
          </w:p>
        </w:tc>
        <w:tc>
          <w:tcPr>
            <w:tcW w:w="5529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20B5B" w:rsidRPr="007314E4" w:rsidTr="006F2A00">
        <w:tc>
          <w:tcPr>
            <w:tcW w:w="568" w:type="dxa"/>
            <w:vAlign w:val="center"/>
          </w:tcPr>
          <w:p w:rsidR="00520B5B" w:rsidRPr="007314E4" w:rsidRDefault="00520B5B" w:rsidP="00520B5B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Przed przystąpieniem do realizacji zamówienia, Wykonawca może dokonać wizji lokalnej, sprawdzenia wymiarów pomieszczeń (wykonanie ewentualnej inwentaryzacji pomieszczeń) celem montażu przedmiotu zamówienia</w:t>
            </w:r>
          </w:p>
        </w:tc>
        <w:tc>
          <w:tcPr>
            <w:tcW w:w="1133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</w:t>
            </w:r>
          </w:p>
        </w:tc>
        <w:tc>
          <w:tcPr>
            <w:tcW w:w="5529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520B5B" w:rsidRPr="007314E4" w:rsidRDefault="00520B5B" w:rsidP="00520B5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</w:tbl>
    <w:p w:rsidR="00DB683C" w:rsidRPr="007314E4" w:rsidRDefault="00DB683C" w:rsidP="000C52D0">
      <w:pPr>
        <w:spacing w:line="276" w:lineRule="auto"/>
        <w:rPr>
          <w:rFonts w:ascii="Century Gothic" w:hAnsi="Century Gothic"/>
          <w:b/>
        </w:rPr>
      </w:pPr>
    </w:p>
    <w:p w:rsidR="00DE08B5" w:rsidRPr="007314E4" w:rsidRDefault="00DE08B5" w:rsidP="00DE08B5">
      <w:pPr>
        <w:spacing w:line="259" w:lineRule="auto"/>
        <w:contextualSpacing/>
        <w:rPr>
          <w:rFonts w:ascii="Century Gothic" w:hAnsi="Century Gothic"/>
          <w:b/>
          <w:color w:val="0000FF"/>
          <w:sz w:val="16"/>
        </w:rPr>
      </w:pPr>
      <w:r w:rsidRPr="007314E4">
        <w:rPr>
          <w:rFonts w:ascii="Century Gothic" w:hAnsi="Century Gothic"/>
          <w:b/>
          <w:color w:val="0000FF"/>
          <w:sz w:val="16"/>
        </w:rPr>
        <w:t>*w przypadku gdy, w którymkolwiek punkcie parametru punktowanego Zamawiający używa słowa „proporcjonalność” na myśli:</w:t>
      </w:r>
    </w:p>
    <w:p w:rsidR="00DE08B5" w:rsidRPr="007314E4" w:rsidRDefault="00DE08B5" w:rsidP="00DE08B5">
      <w:pPr>
        <w:pStyle w:val="Akapitzlist"/>
        <w:numPr>
          <w:ilvl w:val="0"/>
          <w:numId w:val="36"/>
        </w:numPr>
        <w:spacing w:after="0" w:line="259" w:lineRule="auto"/>
        <w:ind w:left="284" w:hanging="284"/>
        <w:rPr>
          <w:rFonts w:ascii="Century Gothic" w:hAnsi="Century Gothic"/>
          <w:b/>
          <w:color w:val="0000FF"/>
          <w:sz w:val="16"/>
          <w:lang w:val="pl-PL" w:eastAsia="pl-PL"/>
        </w:rPr>
      </w:pPr>
      <w:r w:rsidRPr="007314E4">
        <w:rPr>
          <w:rFonts w:ascii="Century Gothic" w:hAnsi="Century Gothic"/>
          <w:b/>
          <w:color w:val="0000FF"/>
          <w:sz w:val="16"/>
          <w:lang w:val="pl-PL" w:eastAsia="pl-PL"/>
        </w:rPr>
        <w:t>Proporcjonalność liczona od wartości maksymalnej:</w:t>
      </w:r>
    </w:p>
    <w:p w:rsidR="00DE08B5" w:rsidRPr="007314E4" w:rsidRDefault="00DE08B5" w:rsidP="00DE08B5">
      <w:pPr>
        <w:pStyle w:val="Akapitzlist"/>
        <w:numPr>
          <w:ilvl w:val="0"/>
          <w:numId w:val="37"/>
        </w:numPr>
        <w:spacing w:after="0"/>
        <w:jc w:val="both"/>
        <w:rPr>
          <w:rFonts w:ascii="Century Gothic" w:hAnsi="Century Gothic" w:cs="Calibri"/>
          <w:color w:val="0000FF"/>
          <w:sz w:val="16"/>
          <w:szCs w:val="22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szCs w:val="22"/>
          <w:lang w:val="pl-PL"/>
        </w:rPr>
        <w:t xml:space="preserve">Wartość wymagana (z) – 0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najmniejsza (y) – „MAX”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DE08B5" w:rsidRPr="007314E4" w:rsidRDefault="00DE08B5" w:rsidP="00DE08B5">
      <w:pPr>
        <w:pStyle w:val="Akapitzlist"/>
        <w:spacing w:before="40" w:after="40"/>
        <w:ind w:right="57"/>
        <w:jc w:val="both"/>
        <w:rPr>
          <w:rFonts w:ascii="Century Gothic" w:eastAsiaTheme="minorEastAsia" w:hAnsi="Century Gothic" w:cs="Calibri"/>
          <w:color w:val="0000FF"/>
          <w:sz w:val="16"/>
          <w:lang w:val="pl-PL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  <w:lang w:val="pl-PL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  <w:lang w:val="pl-PL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z-x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z-y</m:t>
              </m:r>
            </m:den>
          </m:f>
          <m:r>
            <w:rPr>
              <w:rFonts w:ascii="Cambria Math" w:hAnsi="Cambria Math" w:cs="Calibri"/>
              <w:color w:val="0000FF"/>
              <w:sz w:val="16"/>
              <w:lang w:val="pl-PL"/>
            </w:rPr>
            <m:t>∙MAX</m:t>
          </m:r>
        </m:oMath>
      </m:oMathPara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gdzie:</w:t>
      </w:r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x – wartość parametru oferty badanej,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color w:val="0000FF"/>
          <w:sz w:val="16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lang w:val="pl-PL"/>
        </w:rPr>
        <w:t>n – liczba pkt. przyznanych za parametr.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color w:val="0000FF"/>
          <w:sz w:val="16"/>
          <w:lang w:val="pl-PL" w:eastAsia="pl-PL"/>
        </w:rPr>
      </w:pPr>
    </w:p>
    <w:p w:rsidR="00DE08B5" w:rsidRPr="007314E4" w:rsidRDefault="00DE08B5" w:rsidP="00DE08B5">
      <w:pPr>
        <w:pStyle w:val="Akapitzlist"/>
        <w:numPr>
          <w:ilvl w:val="0"/>
          <w:numId w:val="37"/>
        </w:numPr>
        <w:spacing w:after="0"/>
        <w:jc w:val="both"/>
        <w:rPr>
          <w:rFonts w:ascii="Century Gothic" w:hAnsi="Century Gothic" w:cs="Calibri"/>
          <w:color w:val="0000FF"/>
          <w:sz w:val="16"/>
          <w:szCs w:val="22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szCs w:val="22"/>
          <w:lang w:val="pl-PL"/>
        </w:rPr>
        <w:t xml:space="preserve">Wartość wymagana (z) – 0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największa (y) – „MAX”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DE08B5" w:rsidRPr="007314E4" w:rsidRDefault="00DE08B5" w:rsidP="00DE08B5">
      <w:pPr>
        <w:pStyle w:val="Akapitzlist"/>
        <w:spacing w:before="40" w:after="40"/>
        <w:ind w:right="57"/>
        <w:jc w:val="both"/>
        <w:rPr>
          <w:rFonts w:ascii="Century Gothic" w:eastAsiaTheme="minorEastAsia" w:hAnsi="Century Gothic" w:cs="Calibri"/>
          <w:color w:val="0000FF"/>
          <w:sz w:val="16"/>
          <w:lang w:val="pl-PL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  <w:lang w:val="pl-PL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  <w:lang w:val="pl-PL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x-z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y-z</m:t>
              </m:r>
            </m:den>
          </m:f>
          <m:r>
            <w:rPr>
              <w:rFonts w:ascii="Cambria Math" w:hAnsi="Cambria Math" w:cs="Calibri"/>
              <w:color w:val="0000FF"/>
              <w:sz w:val="16"/>
              <w:lang w:val="pl-PL"/>
            </w:rPr>
            <m:t>∙MAX</m:t>
          </m:r>
        </m:oMath>
      </m:oMathPara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gdzie:</w:t>
      </w:r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x – wartość parametru oferty badanej,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color w:val="0000FF"/>
          <w:sz w:val="16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lang w:val="pl-PL"/>
        </w:rPr>
        <w:t>n – liczba pkt. przyznanych za parametr.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color w:val="0000FF"/>
          <w:sz w:val="16"/>
          <w:lang w:val="pl-PL"/>
        </w:rPr>
      </w:pPr>
    </w:p>
    <w:p w:rsidR="00DE08B5" w:rsidRPr="007314E4" w:rsidRDefault="00DE08B5" w:rsidP="00DE08B5">
      <w:pPr>
        <w:pStyle w:val="Akapitzlist"/>
        <w:numPr>
          <w:ilvl w:val="0"/>
          <w:numId w:val="36"/>
        </w:numPr>
        <w:spacing w:after="0" w:line="259" w:lineRule="auto"/>
        <w:ind w:left="284" w:hanging="284"/>
        <w:rPr>
          <w:rFonts w:ascii="Century Gothic" w:hAnsi="Century Gothic"/>
          <w:b/>
          <w:color w:val="0000FF"/>
          <w:sz w:val="16"/>
          <w:lang w:val="pl-PL" w:eastAsia="pl-PL"/>
        </w:rPr>
      </w:pPr>
      <w:r w:rsidRPr="007314E4">
        <w:rPr>
          <w:rFonts w:ascii="Century Gothic" w:hAnsi="Century Gothic"/>
          <w:b/>
          <w:color w:val="0000FF"/>
          <w:sz w:val="16"/>
          <w:lang w:val="pl-PL" w:eastAsia="pl-PL"/>
        </w:rPr>
        <w:t>Proporcjonalność liczona od wartości największej:</w:t>
      </w:r>
    </w:p>
    <w:p w:rsidR="00DE08B5" w:rsidRPr="007314E4" w:rsidRDefault="00DE08B5" w:rsidP="00DE08B5">
      <w:pPr>
        <w:pStyle w:val="Akapitzlist"/>
        <w:ind w:left="1080"/>
        <w:rPr>
          <w:rFonts w:ascii="Century Gothic" w:hAnsi="Century Gothic"/>
          <w:color w:val="0000FF"/>
          <w:sz w:val="16"/>
          <w:lang w:val="pl-PL" w:eastAsia="pl-PL"/>
        </w:rPr>
      </w:pP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372" w:firstLine="336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największa (z) – 0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najmniejsza (y) – „MAX”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DE08B5" w:rsidRPr="007314E4" w:rsidRDefault="00DE08B5" w:rsidP="00DE08B5">
      <w:pPr>
        <w:pStyle w:val="Akapitzlist"/>
        <w:spacing w:before="40" w:after="40"/>
        <w:ind w:left="1080" w:right="57"/>
        <w:jc w:val="both"/>
        <w:rPr>
          <w:rFonts w:ascii="Century Gothic" w:eastAsiaTheme="minorEastAsia" w:hAnsi="Century Gothic" w:cs="Calibri"/>
          <w:color w:val="0000FF"/>
          <w:sz w:val="16"/>
          <w:lang w:val="pl-PL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  <w:lang w:val="pl-PL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  <w:lang w:val="pl-PL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z-x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z-y</m:t>
              </m:r>
            </m:den>
          </m:f>
          <m:r>
            <w:rPr>
              <w:rFonts w:ascii="Cambria Math" w:hAnsi="Cambria Math" w:cs="Calibri"/>
              <w:color w:val="0000FF"/>
              <w:sz w:val="16"/>
              <w:lang w:val="pl-PL"/>
            </w:rPr>
            <m:t>∙MAX</m:t>
          </m:r>
        </m:oMath>
      </m:oMathPara>
    </w:p>
    <w:p w:rsidR="00DE08B5" w:rsidRPr="007314E4" w:rsidRDefault="00DE08B5" w:rsidP="00DE08B5">
      <w:pPr>
        <w:autoSpaceDE w:val="0"/>
        <w:spacing w:before="40" w:after="40" w:line="276" w:lineRule="auto"/>
        <w:ind w:right="57" w:firstLine="708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7314E4">
        <w:rPr>
          <w:rFonts w:ascii="Century Gothic" w:hAnsi="Century Gothic" w:cs="Calibri"/>
          <w:color w:val="0000FF"/>
          <w:sz w:val="16"/>
          <w:lang w:eastAsia="zh-CN"/>
        </w:rPr>
        <w:lastRenderedPageBreak/>
        <w:t>gdzie:</w:t>
      </w:r>
    </w:p>
    <w:p w:rsidR="00DE08B5" w:rsidRPr="007314E4" w:rsidRDefault="00DE08B5" w:rsidP="00DE08B5">
      <w:pPr>
        <w:autoSpaceDE w:val="0"/>
        <w:spacing w:before="40" w:after="40" w:line="276" w:lineRule="auto"/>
        <w:ind w:left="372" w:right="57" w:firstLine="336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7314E4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DE08B5" w:rsidRPr="007314E4" w:rsidRDefault="00DE08B5" w:rsidP="00DE08B5">
      <w:pPr>
        <w:autoSpaceDE w:val="0"/>
        <w:spacing w:before="40" w:after="40" w:line="276" w:lineRule="auto"/>
        <w:ind w:left="372" w:right="57" w:firstLine="336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7314E4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DE08B5" w:rsidRPr="007314E4" w:rsidRDefault="00DE08B5" w:rsidP="00DE08B5">
      <w:pPr>
        <w:pStyle w:val="Akapitzlist"/>
        <w:ind w:left="284"/>
        <w:rPr>
          <w:rFonts w:ascii="Century Gothic" w:hAnsi="Century Gothic"/>
          <w:b/>
          <w:color w:val="0000FF"/>
          <w:sz w:val="16"/>
          <w:lang w:val="pl-PL" w:eastAsia="pl-PL"/>
        </w:rPr>
      </w:pPr>
    </w:p>
    <w:p w:rsidR="00DE08B5" w:rsidRPr="007314E4" w:rsidRDefault="00DE08B5" w:rsidP="00DE08B5">
      <w:pPr>
        <w:pStyle w:val="Akapitzlist"/>
        <w:numPr>
          <w:ilvl w:val="0"/>
          <w:numId w:val="36"/>
        </w:numPr>
        <w:spacing w:after="0" w:line="259" w:lineRule="auto"/>
        <w:ind w:left="284" w:hanging="284"/>
        <w:rPr>
          <w:rFonts w:ascii="Century Gothic" w:hAnsi="Century Gothic"/>
          <w:b/>
          <w:color w:val="0000FF"/>
          <w:sz w:val="16"/>
          <w:lang w:val="pl-PL" w:eastAsia="pl-PL"/>
        </w:rPr>
      </w:pPr>
      <w:r w:rsidRPr="007314E4">
        <w:rPr>
          <w:rFonts w:ascii="Century Gothic" w:hAnsi="Century Gothic"/>
          <w:b/>
          <w:color w:val="0000FF"/>
          <w:sz w:val="16"/>
          <w:lang w:val="pl-PL" w:eastAsia="pl-PL"/>
        </w:rPr>
        <w:t>Proporcjonalność liczona od wartości najmniejszej: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b/>
          <w:color w:val="0000FF"/>
          <w:sz w:val="16"/>
          <w:lang w:val="pl-PL" w:eastAsia="pl-PL"/>
        </w:rPr>
      </w:pP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najmniejsza (z) – 0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największa (y) – „MAX”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DE08B5" w:rsidRPr="007314E4" w:rsidRDefault="00DE08B5" w:rsidP="00DE08B5">
      <w:pPr>
        <w:pStyle w:val="Akapitzlist"/>
        <w:spacing w:before="40" w:after="40"/>
        <w:ind w:right="57"/>
        <w:jc w:val="both"/>
        <w:rPr>
          <w:rFonts w:ascii="Century Gothic" w:eastAsiaTheme="minorEastAsia" w:hAnsi="Century Gothic" w:cs="Calibri"/>
          <w:color w:val="0000FF"/>
          <w:sz w:val="16"/>
          <w:lang w:val="pl-PL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  <w:lang w:val="pl-PL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  <w:lang w:val="pl-PL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x-z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y-z</m:t>
              </m:r>
            </m:den>
          </m:f>
          <m:r>
            <w:rPr>
              <w:rFonts w:ascii="Cambria Math" w:hAnsi="Cambria Math" w:cs="Calibri"/>
              <w:color w:val="0000FF"/>
              <w:sz w:val="16"/>
              <w:lang w:val="pl-PL"/>
            </w:rPr>
            <m:t>∙MAX</m:t>
          </m:r>
        </m:oMath>
      </m:oMathPara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gdzie:</w:t>
      </w:r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x – wartość parametru oferty badanej,</w:t>
      </w:r>
    </w:p>
    <w:p w:rsidR="00DE08B5" w:rsidRPr="007314E4" w:rsidRDefault="00DE08B5" w:rsidP="00DE08B5">
      <w:pPr>
        <w:pStyle w:val="Akapitzlist"/>
        <w:rPr>
          <w:rFonts w:ascii="Calibri" w:hAnsi="Calibri" w:cs="Calibri"/>
          <w:color w:val="0000FF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lang w:val="pl-PL"/>
        </w:rPr>
        <w:t>n – liczba pkt. przyznanych za parametr.</w:t>
      </w:r>
    </w:p>
    <w:p w:rsidR="009A6891" w:rsidRPr="007314E4" w:rsidRDefault="009A6891" w:rsidP="009A6891">
      <w:pPr>
        <w:spacing w:before="40" w:after="40" w:line="276" w:lineRule="auto"/>
        <w:rPr>
          <w:rFonts w:ascii="Century Gothic" w:hAnsi="Century Gothic"/>
          <w:b/>
          <w:sz w:val="18"/>
          <w:szCs w:val="20"/>
          <w:lang w:eastAsia="zh-CN"/>
        </w:rPr>
      </w:pPr>
      <w:r w:rsidRPr="007314E4">
        <w:rPr>
          <w:rFonts w:ascii="Century Gothic" w:hAnsi="Century Gothic"/>
          <w:b/>
          <w:sz w:val="18"/>
          <w:szCs w:val="20"/>
          <w:lang w:eastAsia="zh-CN"/>
        </w:rPr>
        <w:t>Oświadczenie Wykonawcy:</w:t>
      </w:r>
    </w:p>
    <w:p w:rsidR="009A6891" w:rsidRPr="007314E4" w:rsidRDefault="009A6891" w:rsidP="009A6891">
      <w:pPr>
        <w:numPr>
          <w:ilvl w:val="0"/>
          <w:numId w:val="23"/>
        </w:numPr>
        <w:spacing w:before="40" w:after="40" w:line="276" w:lineRule="auto"/>
        <w:ind w:left="284" w:hanging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  <w:r w:rsidRPr="007314E4">
        <w:rPr>
          <w:rFonts w:ascii="Century Gothic" w:hAnsi="Century Gothic"/>
          <w:sz w:val="18"/>
          <w:szCs w:val="20"/>
          <w:lang w:eastAsia="zh-CN"/>
        </w:rPr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9A6891" w:rsidRPr="007314E4" w:rsidRDefault="009A6891" w:rsidP="009A6891">
      <w:pPr>
        <w:numPr>
          <w:ilvl w:val="0"/>
          <w:numId w:val="23"/>
        </w:numPr>
        <w:spacing w:before="40" w:after="40" w:line="276" w:lineRule="auto"/>
        <w:ind w:left="284" w:hanging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  <w:r w:rsidRPr="007314E4">
        <w:rPr>
          <w:rFonts w:ascii="Century Gothic" w:hAnsi="Century Gothic"/>
          <w:sz w:val="18"/>
          <w:szCs w:val="20"/>
          <w:lang w:eastAsia="zh-CN"/>
        </w:rPr>
        <w:t>Oświadczamy, że oferowany i powyżej wyspecyfikowany sprzęt jest kompletny i będzie po zainstalowaniu gotowy do pracy bez żadnych dodatkowych zakupów i inwestycji.</w:t>
      </w:r>
    </w:p>
    <w:p w:rsidR="009A6891" w:rsidRPr="007314E4" w:rsidRDefault="009A6891" w:rsidP="009A6891">
      <w:pPr>
        <w:numPr>
          <w:ilvl w:val="0"/>
          <w:numId w:val="23"/>
        </w:numPr>
        <w:spacing w:before="40" w:after="40" w:line="276" w:lineRule="auto"/>
        <w:ind w:left="284" w:hanging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  <w:r w:rsidRPr="007314E4">
        <w:rPr>
          <w:rFonts w:ascii="Century Gothic" w:hAnsi="Century Gothic"/>
          <w:sz w:val="18"/>
          <w:szCs w:val="20"/>
          <w:lang w:eastAsia="zh-CN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p w:rsidR="009A6891" w:rsidRPr="007314E4" w:rsidRDefault="009A6891" w:rsidP="009A6891">
      <w:pPr>
        <w:spacing w:before="40" w:after="40" w:line="276" w:lineRule="auto"/>
        <w:ind w:left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</w:p>
    <w:p w:rsidR="009A6891" w:rsidRPr="007314E4" w:rsidRDefault="009A6891" w:rsidP="009A6891">
      <w:pPr>
        <w:spacing w:before="40" w:after="40" w:line="276" w:lineRule="auto"/>
        <w:ind w:left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</w:p>
    <w:tbl>
      <w:tblPr>
        <w:tblW w:w="13970" w:type="dxa"/>
        <w:tblInd w:w="284" w:type="dxa"/>
        <w:tblLook w:val="04A0" w:firstRow="1" w:lastRow="0" w:firstColumn="1" w:lastColumn="0" w:noHBand="0" w:noVBand="1"/>
      </w:tblPr>
      <w:tblGrid>
        <w:gridCol w:w="6940"/>
        <w:gridCol w:w="7030"/>
      </w:tblGrid>
      <w:tr w:rsidR="009A6891" w:rsidRPr="007314E4" w:rsidTr="00C85FE4">
        <w:trPr>
          <w:trHeight w:val="1005"/>
        </w:trPr>
        <w:tc>
          <w:tcPr>
            <w:tcW w:w="6940" w:type="dxa"/>
            <w:shd w:val="clear" w:color="auto" w:fill="auto"/>
          </w:tcPr>
          <w:p w:rsidR="009A6891" w:rsidRPr="007314E4" w:rsidRDefault="009A6891" w:rsidP="00C85FE4">
            <w:pPr>
              <w:spacing w:before="40" w:after="40" w:line="276" w:lineRule="auto"/>
              <w:contextualSpacing/>
              <w:jc w:val="both"/>
              <w:rPr>
                <w:rFonts w:ascii="Century Gothic" w:hAnsi="Century Gothic"/>
                <w:sz w:val="16"/>
                <w:szCs w:val="20"/>
                <w:lang w:eastAsia="zh-CN"/>
              </w:rPr>
            </w:pP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jc w:val="both"/>
              <w:rPr>
                <w:rFonts w:ascii="Century Gothic" w:hAnsi="Century Gothic"/>
                <w:sz w:val="16"/>
                <w:szCs w:val="20"/>
                <w:lang w:eastAsia="zh-CN"/>
              </w:rPr>
            </w:pP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jc w:val="both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………………….…….………, dnia: ………..…….……. r.</w:t>
            </w:r>
          </w:p>
          <w:p w:rsidR="009A6891" w:rsidRPr="007314E4" w:rsidRDefault="009A6891" w:rsidP="00C85FE4">
            <w:pPr>
              <w:spacing w:before="40" w:after="40" w:line="276" w:lineRule="auto"/>
              <w:ind w:left="567"/>
              <w:contextualSpacing/>
              <w:jc w:val="both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(miejscowość)</w:t>
            </w:r>
          </w:p>
        </w:tc>
        <w:tc>
          <w:tcPr>
            <w:tcW w:w="7030" w:type="dxa"/>
            <w:shd w:val="clear" w:color="auto" w:fill="auto"/>
          </w:tcPr>
          <w:p w:rsidR="009A6891" w:rsidRPr="007314E4" w:rsidRDefault="009A6891" w:rsidP="00C85FE4">
            <w:pPr>
              <w:spacing w:before="40" w:after="40" w:line="276" w:lineRule="auto"/>
              <w:contextualSpacing/>
              <w:jc w:val="center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b/>
                <w:sz w:val="16"/>
                <w:szCs w:val="20"/>
                <w:lang w:eastAsia="zh-CN"/>
              </w:rPr>
              <w:t>Potwierdzam oferowane jw. parametry</w:t>
            </w: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:</w:t>
            </w: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rPr>
                <w:rFonts w:ascii="Century Gothic" w:hAnsi="Century Gothic"/>
                <w:sz w:val="16"/>
                <w:szCs w:val="20"/>
                <w:lang w:eastAsia="zh-CN"/>
              </w:rPr>
            </w:pP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jc w:val="center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…………………………………………………………………………</w:t>
            </w:r>
          </w:p>
          <w:p w:rsidR="009A6891" w:rsidRPr="007314E4" w:rsidRDefault="009A6891" w:rsidP="00C85FE4">
            <w:pPr>
              <w:spacing w:before="40" w:after="40" w:line="276" w:lineRule="auto"/>
              <w:ind w:left="720"/>
              <w:contextualSpacing/>
              <w:jc w:val="center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Uprawniony przedstawiciel wykonawcy–</w:t>
            </w: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jc w:val="center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– pieczęć z podpisem lub nazwisko i imię.</w:t>
            </w:r>
          </w:p>
        </w:tc>
      </w:tr>
    </w:tbl>
    <w:p w:rsidR="009A6891" w:rsidRPr="007314E4" w:rsidRDefault="009A6891" w:rsidP="000C52D0">
      <w:pPr>
        <w:spacing w:line="276" w:lineRule="auto"/>
        <w:rPr>
          <w:rFonts w:ascii="Century Gothic" w:hAnsi="Century Gothic"/>
          <w:b/>
        </w:rPr>
      </w:pPr>
    </w:p>
    <w:sectPr w:rsidR="009A6891" w:rsidRPr="007314E4" w:rsidSect="00B97E25">
      <w:headerReference w:type="default" r:id="rId9"/>
      <w:footerReference w:type="default" r:id="rId10"/>
      <w:pgSz w:w="16838" w:h="11906" w:orient="landscape" w:code="9"/>
      <w:pgMar w:top="851" w:right="1417" w:bottom="709" w:left="1417" w:header="17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A1D" w:rsidRDefault="002A7A1D" w:rsidP="008403F8">
      <w:r>
        <w:separator/>
      </w:r>
    </w:p>
  </w:endnote>
  <w:endnote w:type="continuationSeparator" w:id="0">
    <w:p w:rsidR="002A7A1D" w:rsidRDefault="002A7A1D" w:rsidP="00840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 Inspira">
    <w:altName w:val="Calibri"/>
    <w:charset w:val="EE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1293900"/>
      <w:docPartObj>
        <w:docPartGallery w:val="Page Numbers (Bottom of Page)"/>
        <w:docPartUnique/>
      </w:docPartObj>
    </w:sdtPr>
    <w:sdtEndPr>
      <w:rPr>
        <w:rFonts w:ascii="Century Gothic" w:hAnsi="Century Gothic"/>
        <w:sz w:val="18"/>
        <w:szCs w:val="18"/>
      </w:rPr>
    </w:sdtEndPr>
    <w:sdtContent>
      <w:sdt>
        <w:sdtPr>
          <w:rPr>
            <w:rFonts w:ascii="Century Gothic" w:hAnsi="Century Gothic"/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Content>
          <w:p w:rsidR="008E026D" w:rsidRPr="00A82796" w:rsidRDefault="008E026D" w:rsidP="00A82796">
            <w:pPr>
              <w:jc w:val="center"/>
              <w:rPr>
                <w:sz w:val="20"/>
              </w:rPr>
            </w:pPr>
            <w:r w:rsidRPr="00E20C05">
              <w:rPr>
                <w:sz w:val="20"/>
              </w:rPr>
              <w:t>Nazwa projektu „Poprawa bezpieczeństwa epidemiologicznego na terenie województwa podkarpackiego w związku z pojawieniem się koronawirusa SARS-CoV-2” finansowane</w:t>
            </w:r>
            <w:r>
              <w:rPr>
                <w:sz w:val="20"/>
              </w:rPr>
              <w:t>go ze środków RPO WP 2014-2020.</w:t>
            </w:r>
          </w:p>
          <w:p w:rsidR="008E026D" w:rsidRDefault="008E026D" w:rsidP="00B97E25">
            <w:pPr>
              <w:pStyle w:val="Stopka"/>
              <w:framePr w:wrap="around" w:vAnchor="text" w:hAnchor="page" w:x="1222" w:y="-487"/>
              <w:jc w:val="center"/>
              <w:rPr>
                <w:rStyle w:val="Numerstrony"/>
              </w:rPr>
            </w:pPr>
          </w:p>
          <w:p w:rsidR="008E026D" w:rsidRPr="00F836D9" w:rsidRDefault="008E026D">
            <w:pPr>
              <w:pStyle w:val="Stopka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836D9">
              <w:rPr>
                <w:rFonts w:ascii="Century Gothic" w:hAnsi="Century Gothic"/>
                <w:sz w:val="18"/>
                <w:szCs w:val="18"/>
              </w:rPr>
              <w:t xml:space="preserve">Strona </w: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instrText>PAGE</w:instrTex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="00520B5B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44</w: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  <w:r w:rsidRPr="00F836D9">
              <w:rPr>
                <w:rFonts w:ascii="Century Gothic" w:hAnsi="Century Gothic"/>
                <w:sz w:val="18"/>
                <w:szCs w:val="18"/>
              </w:rPr>
              <w:t xml:space="preserve"> z </w: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instrText>NUMPAGES</w:instrTex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="00520B5B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46</w: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8E026D" w:rsidRDefault="008E026D" w:rsidP="0030642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A1D" w:rsidRDefault="002A7A1D" w:rsidP="008403F8">
      <w:r>
        <w:separator/>
      </w:r>
    </w:p>
  </w:footnote>
  <w:footnote w:type="continuationSeparator" w:id="0">
    <w:p w:rsidR="002A7A1D" w:rsidRDefault="002A7A1D" w:rsidP="00840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26D" w:rsidRDefault="008E026D" w:rsidP="008403F8">
    <w:pPr>
      <w:pStyle w:val="Nagwek"/>
      <w:jc w:val="right"/>
      <w:rPr>
        <w:rFonts w:ascii="Century Gothic" w:hAnsi="Century Gothic"/>
        <w:sz w:val="20"/>
        <w:szCs w:val="20"/>
      </w:rPr>
    </w:pPr>
    <w:r w:rsidRPr="008403F8">
      <w:rPr>
        <w:rFonts w:ascii="Century Gothic" w:hAnsi="Century Gothic"/>
        <w:sz w:val="20"/>
        <w:szCs w:val="20"/>
      </w:rPr>
      <w:t>Załącznik nr 2</w:t>
    </w:r>
    <w:r>
      <w:rPr>
        <w:rFonts w:ascii="Century Gothic" w:hAnsi="Century Gothic"/>
        <w:sz w:val="20"/>
        <w:szCs w:val="20"/>
      </w:rPr>
      <w:t>a</w:t>
    </w:r>
  </w:p>
  <w:p w:rsidR="008E026D" w:rsidRDefault="008E026D" w:rsidP="00A82796">
    <w:pPr>
      <w:pStyle w:val="Nagwek"/>
      <w:jc w:val="center"/>
      <w:rPr>
        <w:rFonts w:ascii="Century Gothic" w:hAnsi="Century Gothic"/>
        <w:sz w:val="20"/>
        <w:szCs w:val="20"/>
      </w:rPr>
    </w:pPr>
    <w:r w:rsidRPr="00AA55E8">
      <w:rPr>
        <w:noProof/>
      </w:rPr>
      <w:drawing>
        <wp:inline distT="0" distB="0" distL="0" distR="0" wp14:anchorId="11465A60" wp14:editId="5305DB15">
          <wp:extent cx="5966460" cy="7924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646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026D" w:rsidRPr="008403F8" w:rsidRDefault="008E026D" w:rsidP="00B97E25">
    <w:pPr>
      <w:pStyle w:val="Nagwek"/>
      <w:jc w:val="center"/>
      <w:rPr>
        <w:rFonts w:ascii="Century Gothic" w:hAnsi="Century Gothic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</w:abstractNum>
  <w:abstractNum w:abstractNumId="2" w15:restartNumberingAfterBreak="0">
    <w:nsid w:val="01821287"/>
    <w:multiLevelType w:val="multilevel"/>
    <w:tmpl w:val="0DF85E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8F6EC7"/>
    <w:multiLevelType w:val="hybridMultilevel"/>
    <w:tmpl w:val="9B0CB9CE"/>
    <w:lvl w:ilvl="0" w:tplc="04B8698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CF0759"/>
    <w:multiLevelType w:val="hybridMultilevel"/>
    <w:tmpl w:val="3C0E30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9177AD"/>
    <w:multiLevelType w:val="hybridMultilevel"/>
    <w:tmpl w:val="5CC8FA32"/>
    <w:lvl w:ilvl="0" w:tplc="DE5E7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0A645D"/>
    <w:multiLevelType w:val="multilevel"/>
    <w:tmpl w:val="0F7C8D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C013FC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2A904DA"/>
    <w:multiLevelType w:val="multilevel"/>
    <w:tmpl w:val="80440F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3A729A0"/>
    <w:multiLevelType w:val="hybridMultilevel"/>
    <w:tmpl w:val="132E1B86"/>
    <w:lvl w:ilvl="0" w:tplc="597C5440">
      <w:start w:val="1"/>
      <w:numFmt w:val="lowerLetter"/>
      <w:lvlText w:val="%1)"/>
      <w:lvlJc w:val="left"/>
      <w:pPr>
        <w:ind w:left="1440" w:hanging="360"/>
      </w:pPr>
      <w:rPr>
        <w:rFonts w:ascii="Century Gothic" w:hAnsi="Century Gothic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5E23CF6"/>
    <w:multiLevelType w:val="hybridMultilevel"/>
    <w:tmpl w:val="E084E7D6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86224C"/>
    <w:multiLevelType w:val="multilevel"/>
    <w:tmpl w:val="EE18BC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9F205E3"/>
    <w:multiLevelType w:val="hybridMultilevel"/>
    <w:tmpl w:val="838403E0"/>
    <w:lvl w:ilvl="0" w:tplc="09D2F91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92660"/>
    <w:multiLevelType w:val="hybridMultilevel"/>
    <w:tmpl w:val="4FBC6F62"/>
    <w:lvl w:ilvl="0" w:tplc="D518A2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AE22ED"/>
    <w:multiLevelType w:val="hybridMultilevel"/>
    <w:tmpl w:val="755A9D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91643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DFF5B28"/>
    <w:multiLevelType w:val="multilevel"/>
    <w:tmpl w:val="C30C31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E551E7D"/>
    <w:multiLevelType w:val="multilevel"/>
    <w:tmpl w:val="BA865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 w15:restartNumberingAfterBreak="0">
    <w:nsid w:val="2E6B7FBA"/>
    <w:multiLevelType w:val="multilevel"/>
    <w:tmpl w:val="CAE0AB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28D0CDC"/>
    <w:multiLevelType w:val="singleLevel"/>
    <w:tmpl w:val="D25CCE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D8960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BFA7DBE"/>
    <w:multiLevelType w:val="multilevel"/>
    <w:tmpl w:val="5896D704"/>
    <w:lvl w:ilvl="0">
      <w:start w:val="1"/>
      <w:numFmt w:val="bullet"/>
      <w:lvlText w:val=""/>
      <w:lvlJc w:val="left"/>
      <w:pPr>
        <w:tabs>
          <w:tab w:val="num" w:pos="683"/>
        </w:tabs>
        <w:ind w:left="683" w:hanging="683"/>
      </w:pPr>
      <w:rPr>
        <w:rFonts w:ascii="Wingdings" w:hAnsi="Wingdings" w:cs="Wingdings" w:hint="default"/>
        <w:b w:val="0"/>
        <w:i w:val="0"/>
        <w:color w:val="auto"/>
        <w:sz w:val="18"/>
      </w:r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5EB543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6956B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7867A11"/>
    <w:multiLevelType w:val="hybridMultilevel"/>
    <w:tmpl w:val="837470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4D08CE"/>
    <w:multiLevelType w:val="multilevel"/>
    <w:tmpl w:val="D1EE33F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B38499C"/>
    <w:multiLevelType w:val="hybridMultilevel"/>
    <w:tmpl w:val="2F8EE9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A0661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8D7564"/>
    <w:multiLevelType w:val="multilevel"/>
    <w:tmpl w:val="B0E25F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8464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E1913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62F2A46"/>
    <w:multiLevelType w:val="hybridMultilevel"/>
    <w:tmpl w:val="EFA05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4232E2"/>
    <w:multiLevelType w:val="hybridMultilevel"/>
    <w:tmpl w:val="47D66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617495"/>
    <w:multiLevelType w:val="hybridMultilevel"/>
    <w:tmpl w:val="755A9D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9"/>
  </w:num>
  <w:num w:numId="4">
    <w:abstractNumId w:val="1"/>
    <w:lvlOverride w:ilvl="0">
      <w:startOverride w:val="1"/>
    </w:lvlOverride>
  </w:num>
  <w:num w:numId="5">
    <w:abstractNumId w:val="11"/>
  </w:num>
  <w:num w:numId="6">
    <w:abstractNumId w:val="18"/>
  </w:num>
  <w:num w:numId="7">
    <w:abstractNumId w:val="25"/>
  </w:num>
  <w:num w:numId="8">
    <w:abstractNumId w:val="8"/>
  </w:num>
  <w:num w:numId="9">
    <w:abstractNumId w:val="6"/>
  </w:num>
  <w:num w:numId="10">
    <w:abstractNumId w:val="2"/>
  </w:num>
  <w:num w:numId="11">
    <w:abstractNumId w:val="29"/>
  </w:num>
  <w:num w:numId="12">
    <w:abstractNumId w:val="16"/>
  </w:num>
  <w:num w:numId="13">
    <w:abstractNumId w:val="7"/>
  </w:num>
  <w:num w:numId="14">
    <w:abstractNumId w:val="32"/>
  </w:num>
  <w:num w:numId="15">
    <w:abstractNumId w:val="10"/>
  </w:num>
  <w:num w:numId="16">
    <w:abstractNumId w:val="12"/>
  </w:num>
  <w:num w:numId="17">
    <w:abstractNumId w:val="3"/>
  </w:num>
  <w:num w:numId="18">
    <w:abstractNumId w:val="4"/>
  </w:num>
  <w:num w:numId="19">
    <w:abstractNumId w:val="33"/>
  </w:num>
  <w:num w:numId="20">
    <w:abstractNumId w:val="9"/>
  </w:num>
  <w:num w:numId="21">
    <w:abstractNumId w:val="24"/>
  </w:num>
  <w:num w:numId="22">
    <w:abstractNumId w:val="5"/>
  </w:num>
  <w:num w:numId="23">
    <w:abstractNumId w:val="28"/>
  </w:num>
  <w:num w:numId="24">
    <w:abstractNumId w:val="27"/>
  </w:num>
  <w:num w:numId="25">
    <w:abstractNumId w:val="20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21"/>
  </w:num>
  <w:num w:numId="29">
    <w:abstractNumId w:val="23"/>
  </w:num>
  <w:num w:numId="30">
    <w:abstractNumId w:val="22"/>
  </w:num>
  <w:num w:numId="31">
    <w:abstractNumId w:val="14"/>
  </w:num>
  <w:num w:numId="32">
    <w:abstractNumId w:val="15"/>
  </w:num>
  <w:num w:numId="33">
    <w:abstractNumId w:val="30"/>
  </w:num>
  <w:num w:numId="34">
    <w:abstractNumId w:val="31"/>
  </w:num>
  <w:num w:numId="35">
    <w:abstractNumId w:val="34"/>
  </w:num>
  <w:num w:numId="36">
    <w:abstractNumId w:val="13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307D"/>
    <w:rsid w:val="00003A45"/>
    <w:rsid w:val="00006615"/>
    <w:rsid w:val="0001468E"/>
    <w:rsid w:val="00024D29"/>
    <w:rsid w:val="0002626D"/>
    <w:rsid w:val="00045044"/>
    <w:rsid w:val="00087273"/>
    <w:rsid w:val="00096B7F"/>
    <w:rsid w:val="000A5480"/>
    <w:rsid w:val="000A7954"/>
    <w:rsid w:val="000B134C"/>
    <w:rsid w:val="000C52D0"/>
    <w:rsid w:val="000C7188"/>
    <w:rsid w:val="000D307D"/>
    <w:rsid w:val="000E0227"/>
    <w:rsid w:val="000F414F"/>
    <w:rsid w:val="000F5BD4"/>
    <w:rsid w:val="00120DF8"/>
    <w:rsid w:val="001432E0"/>
    <w:rsid w:val="00143EEF"/>
    <w:rsid w:val="00144B28"/>
    <w:rsid w:val="00173761"/>
    <w:rsid w:val="0018205D"/>
    <w:rsid w:val="001A0F3D"/>
    <w:rsid w:val="001B19A4"/>
    <w:rsid w:val="001C60B0"/>
    <w:rsid w:val="001D2B44"/>
    <w:rsid w:val="002001B1"/>
    <w:rsid w:val="00211244"/>
    <w:rsid w:val="00211359"/>
    <w:rsid w:val="00220915"/>
    <w:rsid w:val="0023482C"/>
    <w:rsid w:val="0023621F"/>
    <w:rsid w:val="00252A34"/>
    <w:rsid w:val="00275979"/>
    <w:rsid w:val="002816EA"/>
    <w:rsid w:val="002A2C81"/>
    <w:rsid w:val="002A7A1D"/>
    <w:rsid w:val="002D4942"/>
    <w:rsid w:val="002E1044"/>
    <w:rsid w:val="002E3707"/>
    <w:rsid w:val="002E3B14"/>
    <w:rsid w:val="002E7F36"/>
    <w:rsid w:val="002F0E30"/>
    <w:rsid w:val="002F5083"/>
    <w:rsid w:val="0030642C"/>
    <w:rsid w:val="0032717F"/>
    <w:rsid w:val="00331596"/>
    <w:rsid w:val="00335719"/>
    <w:rsid w:val="0034438D"/>
    <w:rsid w:val="00353E10"/>
    <w:rsid w:val="00361F76"/>
    <w:rsid w:val="0036270A"/>
    <w:rsid w:val="003659FB"/>
    <w:rsid w:val="00365D2E"/>
    <w:rsid w:val="00370A1E"/>
    <w:rsid w:val="00370FAA"/>
    <w:rsid w:val="00371EE2"/>
    <w:rsid w:val="00382839"/>
    <w:rsid w:val="003937A9"/>
    <w:rsid w:val="00396BBC"/>
    <w:rsid w:val="003A2031"/>
    <w:rsid w:val="003B0378"/>
    <w:rsid w:val="003B6D5B"/>
    <w:rsid w:val="003B7EA2"/>
    <w:rsid w:val="003C3687"/>
    <w:rsid w:val="003C5BDC"/>
    <w:rsid w:val="003D0469"/>
    <w:rsid w:val="003E4393"/>
    <w:rsid w:val="003E4A3D"/>
    <w:rsid w:val="003E600D"/>
    <w:rsid w:val="00412005"/>
    <w:rsid w:val="00413554"/>
    <w:rsid w:val="004141D1"/>
    <w:rsid w:val="00431766"/>
    <w:rsid w:val="004426B9"/>
    <w:rsid w:val="00460792"/>
    <w:rsid w:val="0046539C"/>
    <w:rsid w:val="00476D12"/>
    <w:rsid w:val="00483F3F"/>
    <w:rsid w:val="004A4521"/>
    <w:rsid w:val="004A4B61"/>
    <w:rsid w:val="004A4E56"/>
    <w:rsid w:val="004E0C1B"/>
    <w:rsid w:val="004E1991"/>
    <w:rsid w:val="00500949"/>
    <w:rsid w:val="00501DA0"/>
    <w:rsid w:val="00520B5B"/>
    <w:rsid w:val="00521388"/>
    <w:rsid w:val="00521765"/>
    <w:rsid w:val="00532084"/>
    <w:rsid w:val="0053221E"/>
    <w:rsid w:val="00535E58"/>
    <w:rsid w:val="005419E5"/>
    <w:rsid w:val="00542F8E"/>
    <w:rsid w:val="005568DB"/>
    <w:rsid w:val="0057515C"/>
    <w:rsid w:val="00576817"/>
    <w:rsid w:val="00586398"/>
    <w:rsid w:val="005948D3"/>
    <w:rsid w:val="005966E3"/>
    <w:rsid w:val="005A7CD8"/>
    <w:rsid w:val="005B20FA"/>
    <w:rsid w:val="005B4021"/>
    <w:rsid w:val="005B7CA6"/>
    <w:rsid w:val="005F62A2"/>
    <w:rsid w:val="006261A9"/>
    <w:rsid w:val="006472AF"/>
    <w:rsid w:val="0065269D"/>
    <w:rsid w:val="00655D63"/>
    <w:rsid w:val="006600D3"/>
    <w:rsid w:val="00665143"/>
    <w:rsid w:val="00667455"/>
    <w:rsid w:val="00670CC8"/>
    <w:rsid w:val="00673D6D"/>
    <w:rsid w:val="006854A2"/>
    <w:rsid w:val="006C27DF"/>
    <w:rsid w:val="006C3E8D"/>
    <w:rsid w:val="006C73D9"/>
    <w:rsid w:val="006E10CD"/>
    <w:rsid w:val="006F022C"/>
    <w:rsid w:val="006F13AE"/>
    <w:rsid w:val="006F2A00"/>
    <w:rsid w:val="006F791A"/>
    <w:rsid w:val="00724AF0"/>
    <w:rsid w:val="007314E4"/>
    <w:rsid w:val="00736D44"/>
    <w:rsid w:val="007378D8"/>
    <w:rsid w:val="0074035A"/>
    <w:rsid w:val="00747F68"/>
    <w:rsid w:val="00752B5F"/>
    <w:rsid w:val="00753652"/>
    <w:rsid w:val="007561E0"/>
    <w:rsid w:val="00761DE1"/>
    <w:rsid w:val="00761FC5"/>
    <w:rsid w:val="00765576"/>
    <w:rsid w:val="007658C9"/>
    <w:rsid w:val="00766DB4"/>
    <w:rsid w:val="00776304"/>
    <w:rsid w:val="00785D97"/>
    <w:rsid w:val="00795421"/>
    <w:rsid w:val="00797F77"/>
    <w:rsid w:val="007B58DB"/>
    <w:rsid w:val="007C080E"/>
    <w:rsid w:val="007D0ADF"/>
    <w:rsid w:val="007E17D9"/>
    <w:rsid w:val="0080041C"/>
    <w:rsid w:val="00802463"/>
    <w:rsid w:val="00803A14"/>
    <w:rsid w:val="00825BCC"/>
    <w:rsid w:val="008403F8"/>
    <w:rsid w:val="00846861"/>
    <w:rsid w:val="00853BC9"/>
    <w:rsid w:val="008575B3"/>
    <w:rsid w:val="00864339"/>
    <w:rsid w:val="00867694"/>
    <w:rsid w:val="008741A6"/>
    <w:rsid w:val="008846A8"/>
    <w:rsid w:val="008A320E"/>
    <w:rsid w:val="008A39BA"/>
    <w:rsid w:val="008A424A"/>
    <w:rsid w:val="008B45E3"/>
    <w:rsid w:val="008B5CF3"/>
    <w:rsid w:val="008C448C"/>
    <w:rsid w:val="008D257D"/>
    <w:rsid w:val="008E026D"/>
    <w:rsid w:val="008F032D"/>
    <w:rsid w:val="008F1589"/>
    <w:rsid w:val="008F647E"/>
    <w:rsid w:val="00905D9E"/>
    <w:rsid w:val="00907454"/>
    <w:rsid w:val="00922422"/>
    <w:rsid w:val="0092688D"/>
    <w:rsid w:val="00936E85"/>
    <w:rsid w:val="00937B1A"/>
    <w:rsid w:val="00945384"/>
    <w:rsid w:val="0094691D"/>
    <w:rsid w:val="009637CC"/>
    <w:rsid w:val="0096495F"/>
    <w:rsid w:val="00973DAC"/>
    <w:rsid w:val="00987587"/>
    <w:rsid w:val="009A42C0"/>
    <w:rsid w:val="009A45A1"/>
    <w:rsid w:val="009A6891"/>
    <w:rsid w:val="009A6EC1"/>
    <w:rsid w:val="009B52A2"/>
    <w:rsid w:val="009B7699"/>
    <w:rsid w:val="009D2C10"/>
    <w:rsid w:val="009D72F0"/>
    <w:rsid w:val="009F02B4"/>
    <w:rsid w:val="00A00727"/>
    <w:rsid w:val="00A0389D"/>
    <w:rsid w:val="00A0426A"/>
    <w:rsid w:val="00A23EF1"/>
    <w:rsid w:val="00A3025C"/>
    <w:rsid w:val="00A317F0"/>
    <w:rsid w:val="00A41CD9"/>
    <w:rsid w:val="00A43152"/>
    <w:rsid w:val="00A46751"/>
    <w:rsid w:val="00A54379"/>
    <w:rsid w:val="00A64BE3"/>
    <w:rsid w:val="00A65C6E"/>
    <w:rsid w:val="00A71FF8"/>
    <w:rsid w:val="00A74849"/>
    <w:rsid w:val="00A82796"/>
    <w:rsid w:val="00A91058"/>
    <w:rsid w:val="00A93B2F"/>
    <w:rsid w:val="00AA1B19"/>
    <w:rsid w:val="00AB384B"/>
    <w:rsid w:val="00AC4685"/>
    <w:rsid w:val="00AD436C"/>
    <w:rsid w:val="00AE5B39"/>
    <w:rsid w:val="00AF251D"/>
    <w:rsid w:val="00B02008"/>
    <w:rsid w:val="00B02E58"/>
    <w:rsid w:val="00B03554"/>
    <w:rsid w:val="00B15299"/>
    <w:rsid w:val="00B21E97"/>
    <w:rsid w:val="00B23832"/>
    <w:rsid w:val="00B26F9C"/>
    <w:rsid w:val="00B34367"/>
    <w:rsid w:val="00B6701E"/>
    <w:rsid w:val="00B734F2"/>
    <w:rsid w:val="00B73C0E"/>
    <w:rsid w:val="00B77597"/>
    <w:rsid w:val="00B8407C"/>
    <w:rsid w:val="00B90D7D"/>
    <w:rsid w:val="00B97E25"/>
    <w:rsid w:val="00BA6311"/>
    <w:rsid w:val="00BA6D49"/>
    <w:rsid w:val="00BB02E9"/>
    <w:rsid w:val="00BB39B8"/>
    <w:rsid w:val="00BD01CB"/>
    <w:rsid w:val="00BD1E93"/>
    <w:rsid w:val="00BD238E"/>
    <w:rsid w:val="00BD6260"/>
    <w:rsid w:val="00BE60B6"/>
    <w:rsid w:val="00BF3E92"/>
    <w:rsid w:val="00C16E1F"/>
    <w:rsid w:val="00C24143"/>
    <w:rsid w:val="00C3704D"/>
    <w:rsid w:val="00C4497F"/>
    <w:rsid w:val="00C50832"/>
    <w:rsid w:val="00C5324D"/>
    <w:rsid w:val="00C55D06"/>
    <w:rsid w:val="00C6505B"/>
    <w:rsid w:val="00C85FE4"/>
    <w:rsid w:val="00C94CC9"/>
    <w:rsid w:val="00CA38F4"/>
    <w:rsid w:val="00CB00ED"/>
    <w:rsid w:val="00CB379E"/>
    <w:rsid w:val="00CC47B4"/>
    <w:rsid w:val="00CE0D07"/>
    <w:rsid w:val="00CE3219"/>
    <w:rsid w:val="00CE7DB3"/>
    <w:rsid w:val="00CF457F"/>
    <w:rsid w:val="00CF5B32"/>
    <w:rsid w:val="00CF74E8"/>
    <w:rsid w:val="00D105CD"/>
    <w:rsid w:val="00D142A4"/>
    <w:rsid w:val="00D153C5"/>
    <w:rsid w:val="00D170BA"/>
    <w:rsid w:val="00D222CF"/>
    <w:rsid w:val="00D22389"/>
    <w:rsid w:val="00D338F3"/>
    <w:rsid w:val="00D40C68"/>
    <w:rsid w:val="00D5399F"/>
    <w:rsid w:val="00D5733F"/>
    <w:rsid w:val="00D63AD2"/>
    <w:rsid w:val="00D71F60"/>
    <w:rsid w:val="00D80593"/>
    <w:rsid w:val="00D92F5E"/>
    <w:rsid w:val="00DA16D3"/>
    <w:rsid w:val="00DA3644"/>
    <w:rsid w:val="00DA5923"/>
    <w:rsid w:val="00DA7591"/>
    <w:rsid w:val="00DB6786"/>
    <w:rsid w:val="00DB683C"/>
    <w:rsid w:val="00DC0285"/>
    <w:rsid w:val="00DC1F31"/>
    <w:rsid w:val="00DC3C3B"/>
    <w:rsid w:val="00DC535C"/>
    <w:rsid w:val="00DE08B5"/>
    <w:rsid w:val="00DF4F92"/>
    <w:rsid w:val="00E21462"/>
    <w:rsid w:val="00E27CA7"/>
    <w:rsid w:val="00E27F96"/>
    <w:rsid w:val="00E353E6"/>
    <w:rsid w:val="00E427BA"/>
    <w:rsid w:val="00E43A34"/>
    <w:rsid w:val="00E60E7A"/>
    <w:rsid w:val="00E622F6"/>
    <w:rsid w:val="00E7395D"/>
    <w:rsid w:val="00E86C51"/>
    <w:rsid w:val="00E91E40"/>
    <w:rsid w:val="00E95F41"/>
    <w:rsid w:val="00EA31AD"/>
    <w:rsid w:val="00EB0BCD"/>
    <w:rsid w:val="00EB7413"/>
    <w:rsid w:val="00ED0636"/>
    <w:rsid w:val="00EE0DDC"/>
    <w:rsid w:val="00EF1CC3"/>
    <w:rsid w:val="00EF3364"/>
    <w:rsid w:val="00EF6665"/>
    <w:rsid w:val="00F05EF3"/>
    <w:rsid w:val="00F27516"/>
    <w:rsid w:val="00F51781"/>
    <w:rsid w:val="00F53EA4"/>
    <w:rsid w:val="00F54642"/>
    <w:rsid w:val="00F5537F"/>
    <w:rsid w:val="00F56C82"/>
    <w:rsid w:val="00F64252"/>
    <w:rsid w:val="00F65E5D"/>
    <w:rsid w:val="00F822F3"/>
    <w:rsid w:val="00F836D9"/>
    <w:rsid w:val="00F83B06"/>
    <w:rsid w:val="00F8440C"/>
    <w:rsid w:val="00FA0CC9"/>
    <w:rsid w:val="00FA4D9D"/>
    <w:rsid w:val="00FB7748"/>
    <w:rsid w:val="00FC15D2"/>
    <w:rsid w:val="00FC298C"/>
    <w:rsid w:val="00FD0DF0"/>
    <w:rsid w:val="00FD1715"/>
    <w:rsid w:val="00FF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43DAF8"/>
  <w15:docId w15:val="{18BD23C5-88A6-4B80-B0B9-D4500DA4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49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D4942"/>
    <w:pPr>
      <w:keepNext/>
      <w:suppressAutoHyphens/>
      <w:snapToGrid w:val="0"/>
      <w:jc w:val="center"/>
      <w:outlineLvl w:val="0"/>
    </w:pPr>
    <w:rPr>
      <w:rFonts w:ascii="Arial Narrow" w:hAnsi="Arial Narrow"/>
      <w:b/>
      <w:bCs/>
      <w:sz w:val="18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49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D4942"/>
    <w:rPr>
      <w:rFonts w:ascii="Arial Narrow" w:eastAsia="Times New Roman" w:hAnsi="Arial Narrow" w:cs="Times New Roman"/>
      <w:b/>
      <w:bCs/>
      <w:sz w:val="18"/>
      <w:szCs w:val="20"/>
      <w:lang w:eastAsia="ar-SA"/>
    </w:rPr>
  </w:style>
  <w:style w:type="paragraph" w:customStyle="1" w:styleId="Normal9pt">
    <w:name w:val="Normal 9 pt"/>
    <w:basedOn w:val="Normalny"/>
    <w:rsid w:val="002D4942"/>
    <w:pPr>
      <w:suppressAutoHyphens/>
    </w:pPr>
    <w:rPr>
      <w:rFonts w:ascii="Arial" w:hAnsi="Arial" w:cs="Arial"/>
      <w:sz w:val="18"/>
      <w:szCs w:val="18"/>
      <w:lang w:eastAsia="ar-SA"/>
    </w:rPr>
  </w:style>
  <w:style w:type="paragraph" w:customStyle="1" w:styleId="Zawartotabeli">
    <w:name w:val="Zawartość tabeli"/>
    <w:basedOn w:val="Normalny"/>
    <w:rsid w:val="002D4942"/>
    <w:pPr>
      <w:widowControl w:val="0"/>
      <w:suppressLineNumbers/>
      <w:suppressAutoHyphens/>
    </w:pPr>
    <w:rPr>
      <w:lang w:eastAsia="ar-SA"/>
    </w:rPr>
  </w:style>
  <w:style w:type="paragraph" w:customStyle="1" w:styleId="a">
    <w:name w:val="正文"/>
    <w:rsid w:val="00853BC9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497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Lista-kontynuacja2">
    <w:name w:val="List Continue 2"/>
    <w:basedOn w:val="Lista-kontynuacja"/>
    <w:unhideWhenUsed/>
    <w:rsid w:val="00C4497F"/>
    <w:pPr>
      <w:spacing w:after="160"/>
      <w:ind w:left="1080" w:hanging="360"/>
      <w:contextualSpacing w:val="0"/>
    </w:pPr>
    <w:rPr>
      <w:sz w:val="20"/>
      <w:szCs w:val="20"/>
    </w:rPr>
  </w:style>
  <w:style w:type="paragraph" w:styleId="Akapitzlist">
    <w:name w:val="List Paragraph"/>
    <w:aliases w:val="sw tekst,L1,Numerowanie,Akapit z listą BS,ISCG Numerowanie,lp1"/>
    <w:basedOn w:val="Normalny"/>
    <w:link w:val="AkapitzlistZnak"/>
    <w:uiPriority w:val="34"/>
    <w:qFormat/>
    <w:rsid w:val="00C4497F"/>
    <w:pPr>
      <w:spacing w:after="200" w:line="276" w:lineRule="auto"/>
      <w:ind w:left="720"/>
      <w:contextualSpacing/>
    </w:pPr>
    <w:rPr>
      <w:rFonts w:ascii="Arial" w:eastAsia="Calibri" w:hAnsi="Arial"/>
      <w:sz w:val="20"/>
      <w:szCs w:val="20"/>
      <w:lang w:val="en-US" w:eastAsia="en-US"/>
    </w:rPr>
  </w:style>
  <w:style w:type="paragraph" w:customStyle="1" w:styleId="AbsatzTableFormat">
    <w:name w:val="AbsatzTableFormat"/>
    <w:basedOn w:val="Normalny"/>
    <w:autoRedefine/>
    <w:rsid w:val="00C4497F"/>
    <w:rPr>
      <w:rFonts w:ascii="Arial" w:hAnsi="Arial" w:cs="Arial"/>
      <w:sz w:val="20"/>
      <w:szCs w:val="20"/>
    </w:rPr>
  </w:style>
  <w:style w:type="paragraph" w:customStyle="1" w:styleId="Standard">
    <w:name w:val="Standard"/>
    <w:rsid w:val="00C4497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Lista-kontynuacja22">
    <w:name w:val="Lista - kontynuacja 22"/>
    <w:basedOn w:val="Normalny"/>
    <w:rsid w:val="00C4497F"/>
    <w:pPr>
      <w:suppressAutoHyphens/>
      <w:spacing w:after="160"/>
      <w:ind w:left="1080" w:hanging="360"/>
    </w:pPr>
    <w:rPr>
      <w:sz w:val="20"/>
      <w:szCs w:val="20"/>
      <w:lang w:eastAsia="ar-SA"/>
    </w:rPr>
  </w:style>
  <w:style w:type="paragraph" w:customStyle="1" w:styleId="Lista-kontynuacja24">
    <w:name w:val="Lista - kontynuacja 24"/>
    <w:basedOn w:val="Normalny"/>
    <w:rsid w:val="00C4497F"/>
    <w:pPr>
      <w:widowControl w:val="0"/>
      <w:suppressAutoHyphens/>
      <w:spacing w:after="120"/>
      <w:ind w:left="566"/>
    </w:pPr>
    <w:rPr>
      <w:rFonts w:eastAsia="Andale Sans UI"/>
      <w:kern w:val="2"/>
      <w:lang w:eastAsia="ar-SA"/>
    </w:rPr>
  </w:style>
  <w:style w:type="paragraph" w:styleId="Lista-kontynuacja">
    <w:name w:val="List Continue"/>
    <w:basedOn w:val="Normalny"/>
    <w:uiPriority w:val="99"/>
    <w:semiHidden/>
    <w:unhideWhenUsed/>
    <w:rsid w:val="00C4497F"/>
    <w:pPr>
      <w:spacing w:after="120"/>
      <w:ind w:left="283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42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25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4B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4B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44B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44B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44B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44B28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4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4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440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4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440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63AD2"/>
    <w:rPr>
      <w:color w:val="0000FF" w:themeColor="hyperlink"/>
      <w:u w:val="single"/>
    </w:rPr>
  </w:style>
  <w:style w:type="character" w:customStyle="1" w:styleId="AkapitzlistZnak">
    <w:name w:val="Akapit z listą Znak"/>
    <w:aliases w:val="sw tekst Znak,L1 Znak,Numerowanie Znak,Akapit z listą BS Znak,ISCG Numerowanie Znak,lp1 Znak"/>
    <w:basedOn w:val="Domylnaczcionkaakapitu"/>
    <w:link w:val="Akapitzlist"/>
    <w:uiPriority w:val="34"/>
    <w:qFormat/>
    <w:locked/>
    <w:rsid w:val="00AE5B39"/>
    <w:rPr>
      <w:rFonts w:ascii="Arial" w:eastAsia="Calibri" w:hAnsi="Arial" w:cs="Times New Roman"/>
      <w:sz w:val="20"/>
      <w:szCs w:val="20"/>
      <w:lang w:val="en-US"/>
    </w:rPr>
  </w:style>
  <w:style w:type="paragraph" w:styleId="NormalnyWeb">
    <w:name w:val="Normal (Web)"/>
    <w:basedOn w:val="Normalny"/>
    <w:uiPriority w:val="99"/>
    <w:unhideWhenUsed/>
    <w:qFormat/>
    <w:rsid w:val="00FA4D9D"/>
    <w:pPr>
      <w:spacing w:before="100" w:beforeAutospacing="1" w:after="100" w:afterAutospacing="1"/>
    </w:pPr>
  </w:style>
  <w:style w:type="character" w:styleId="Numerstrony">
    <w:name w:val="page number"/>
    <w:basedOn w:val="Domylnaczcionkaakapitu"/>
    <w:rsid w:val="00B97E25"/>
  </w:style>
  <w:style w:type="paragraph" w:customStyle="1" w:styleId="GEContact">
    <w:name w:val="GE Contact"/>
    <w:basedOn w:val="Normalny"/>
    <w:rsid w:val="00A43152"/>
    <w:pPr>
      <w:suppressAutoHyphens/>
      <w:spacing w:line="200" w:lineRule="exact"/>
    </w:pPr>
    <w:rPr>
      <w:rFonts w:ascii="GE Inspira" w:eastAsia="Times" w:hAnsi="GE Inspira"/>
      <w:kern w:val="8"/>
      <w:sz w:val="16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3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0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5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3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5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8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88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63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4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8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1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6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5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0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1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8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0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3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cpu_list.php%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AF346-CCDB-45C0-9E34-13CDED143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46</Pages>
  <Words>7768</Words>
  <Characters>46613</Characters>
  <Application>Microsoft Office Word</Application>
  <DocSecurity>0</DocSecurity>
  <Lines>388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</dc:creator>
  <cp:lastModifiedBy>Michał Smelik</cp:lastModifiedBy>
  <cp:revision>50</cp:revision>
  <cp:lastPrinted>2020-06-28T12:07:00Z</cp:lastPrinted>
  <dcterms:created xsi:type="dcterms:W3CDTF">2019-01-23T06:14:00Z</dcterms:created>
  <dcterms:modified xsi:type="dcterms:W3CDTF">2020-08-06T03:56:00Z</dcterms:modified>
</cp:coreProperties>
</file>