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526D82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Respiratory 30 szt.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9"/>
        <w:gridCol w:w="4266"/>
        <w:gridCol w:w="1564"/>
        <w:gridCol w:w="4265"/>
        <w:gridCol w:w="2845"/>
        <w:gridCol w:w="1984"/>
      </w:tblGrid>
      <w:tr w:rsidR="00D04942" w:rsidRPr="00BF5649" w:rsidTr="00D04942">
        <w:trPr>
          <w:trHeight w:val="409"/>
          <w:tblHeader/>
        </w:trPr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F5649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F5649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2845" w:type="dxa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sz w:val="16"/>
                <w:szCs w:val="20"/>
              </w:rPr>
              <w:t>Nr strony oferty potwierdzającej parametr oferowany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360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b/>
                <w:sz w:val="18"/>
                <w:szCs w:val="20"/>
              </w:rPr>
            </w:pPr>
          </w:p>
        </w:tc>
        <w:tc>
          <w:tcPr>
            <w:tcW w:w="1564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4265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20"/>
              </w:rPr>
            </w:pPr>
            <w:r w:rsidRPr="00BF5649">
              <w:rPr>
                <w:rFonts w:ascii="Century Gothic" w:hAnsi="Century Gothic" w:cs="Calibri"/>
                <w:sz w:val="18"/>
                <w:szCs w:val="20"/>
              </w:rPr>
              <w:t xml:space="preserve">Przedmiot zamówienia fabrycznie nowy nie </w:t>
            </w:r>
            <w:proofErr w:type="spellStart"/>
            <w:r w:rsidRPr="00BF5649">
              <w:rPr>
                <w:rFonts w:ascii="Century Gothic" w:hAnsi="Century Gothic" w:cs="Calibri"/>
                <w:sz w:val="18"/>
                <w:szCs w:val="20"/>
              </w:rPr>
              <w:t>podemonstracyjny</w:t>
            </w:r>
            <w:proofErr w:type="spellEnd"/>
            <w:r w:rsidRPr="00BF5649">
              <w:rPr>
                <w:rFonts w:ascii="Century Gothic" w:hAnsi="Century Gothic" w:cs="Calibri"/>
                <w:sz w:val="18"/>
                <w:szCs w:val="20"/>
              </w:rPr>
              <w:t>, nie powystawowy, rok produkcji 2020 r.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bookmarkStart w:id="0" w:name="_GoBack"/>
            <w:bookmarkEnd w:id="0"/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  <w:szCs w:val="20"/>
              </w:rPr>
            </w:pPr>
            <w:r w:rsidRPr="00BF5649">
              <w:rPr>
                <w:rFonts w:ascii="Century Gothic" w:hAnsi="Century Gothic" w:cs="Arial"/>
                <w:b/>
                <w:sz w:val="18"/>
                <w:szCs w:val="20"/>
              </w:rPr>
              <w:t>INFORMACJE OGÓLNE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26D8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Respirator dla dzieci i dorosłych:</w:t>
            </w:r>
          </w:p>
          <w:p w:rsidR="00526D8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•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ab/>
              <w:t>Dzieci od min. 2 kg</w:t>
            </w:r>
          </w:p>
          <w:p w:rsidR="00D04942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•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ab/>
              <w:t>Dorośli do min. 250 kg</w:t>
            </w:r>
          </w:p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</w:pPr>
            <w:r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  <w:t>podać wagę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 xml:space="preserve">Respirator do terapii niewydolności oddechowej różnego typu do stosowania na różnych oddziałach w tym między innymi na oddziale intensywnej terapii, sali </w:t>
            </w:r>
            <w:proofErr w:type="spellStart"/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wybudzeń</w:t>
            </w:r>
            <w:proofErr w:type="spellEnd"/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,  szpitalnym oddziale ratunkowym i w transporcie wewnątrzszpitalnym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526D8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D0494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  <w:t>RODZAJE WENTYLACJI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 zadaną objętością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  zadanym ciśnieniem 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tcBorders>
              <w:bottom w:val="single" w:sz="4" w:space="0" w:color="auto"/>
            </w:tcBorders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ze wspomaganiem oddechu spontanicznego ciśnieniem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wentylację ze wspomaganiem oddechu spontanicznego objętością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Wentylacja awaryjna przy niewydolnej wentylacji wspomaganej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Synchroniczna przerywana wentylacja obowiązkowa SIMV ze wspomaganiem ciśnieniowym objętościowo kontrolowana oraz ciśnieniowo kontrolowana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typu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AutoFlow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APV lub VC+ lub PRVC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typy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Cs/>
                <w:iCs/>
                <w:sz w:val="16"/>
                <w:szCs w:val="16"/>
                <w:highlight w:val="yellow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dwupoziomowa typu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BiLevel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Bi-Vent lub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BiPAP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DuoPAP</w:t>
            </w:r>
            <w:proofErr w:type="spellEnd"/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typy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funkcję z automatycznego przełączania pomiędzy trybem wentylacji kontrolowanej do trybu wentylacji wspomaganej i odwrotnie w zależności od inicjacji przez pacjenta oddechu spontanicznego i bez aktywacji alarmów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Wyzwalanie oddechu przepływem regulowane ręcznie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Wyzwalanie oddechu ciśnieniem regulowane ręcznie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 manualny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Wbudowany system nebulizacji aktywowany i regulowany z pozycji ekranu respiratora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regulacji kończenia fazy wdechowej w zakresie min. 1-65 % przepływu szczytowego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powrotu do poprzedniego trybu i ustawień wentylacji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Funkcja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natlenowania</w:t>
            </w:r>
            <w:proofErr w:type="spellEnd"/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wstrzymania na wdechu do min. 30 sekund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okres czasu wstrzymania wdechu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wstrzymania na wydechu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Funkcja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natlenowywania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z regulowanym stężeniem tlenu  i automatycznego rozpoznawania odłączenia i podłączenia pacjenta przy czynności  odsysania z dróg oddechowych z zatrzymaniem pracy respiratora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funkcję wysokiego przepływu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funkcję graficznej prezentacji pęcherzyka, mająca na celu ułatwienie wizualizacji objętości i ciśnienia w odniesieniu do ustawionych wartości docelowych w trybach inwazyjnych lub inne sposoby wizualizacji terapii oddechowej ukierunkowanej na cel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526D8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/>
                <w:b/>
                <w:color w:val="000000"/>
                <w:sz w:val="18"/>
                <w:szCs w:val="16"/>
              </w:rPr>
              <w:t>PARAMETRY NASTAWIANE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Częstość oddechów, minimalny zakres   </w:t>
            </w:r>
          </w:p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 5 - 150 oddechów/min </w:t>
            </w:r>
            <w:r>
              <w:rPr>
                <w:rFonts w:ascii="Century Gothic" w:hAnsi="Century Gothic"/>
                <w:sz w:val="18"/>
              </w:rPr>
              <w:t xml:space="preserve">– </w:t>
            </w:r>
            <w:r>
              <w:rPr>
                <w:rFonts w:ascii="Century Gothic" w:hAnsi="Century Gothic"/>
                <w:b/>
                <w:sz w:val="18"/>
              </w:rPr>
              <w:t>podać częstość oddechów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Objętość pojedynczego oddechu,   </w:t>
            </w:r>
          </w:p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minimalny zakres 20 – 2000 ml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objętości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Regulowany stosunek wdechu do wydechu min. w zakresie 4:1 - 1:10 dla trybu VC i PC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regulowany stosunek wdechu do wydechu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Regulowany czas wdechu minimalny zakres 0,1 do 5,0 sekund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czasu wdechu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Stężenie tlenu w mieszaninie oddechowej regulowanie płynnie w zakresie 21-100%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stosowanego stężenia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wdechowe PCV (minimalny zakres 1 – 80 cmH2O)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ciśnienia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wdechowe</w:t>
            </w:r>
            <w:r>
              <w:rPr>
                <w:rFonts w:ascii="Century Gothic" w:hAnsi="Century Gothic"/>
                <w:b/>
                <w:sz w:val="18"/>
              </w:rPr>
              <w:t>go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PCV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  <w:lang w:val="en-US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wspomagania PSV (minimalny zakres 1 - 80 cmH2O)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ciśnienia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</w:t>
            </w:r>
            <w:r>
              <w:rPr>
                <w:rFonts w:ascii="Century Gothic" w:hAnsi="Century Gothic"/>
                <w:b/>
                <w:sz w:val="18"/>
              </w:rPr>
              <w:t>wydechowego PSV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PEEP minimalny zakres  1 - 40 cmH2O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PEEP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Programowalna przez użytkownika konfiguracja startowa respiratora wraz  z zakresami alarmowymi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  <w:r w:rsidR="005E61B1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PARAMETRY WYŚWIETLANE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Kolorowy monitor o przekątnej minimum 12 cali i wysokiej rozdzielczości ekranu min. 1024x768 pikseli do obsługi respiratora poprzez ekran dotykowy i obrazowania parametrów, wraz z funkcją regulacji nachylenia monitora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Obsługa respiratora i opisy w języku polskim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Całkowita częstość oddychania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Częstość i wentylacja minutowa oddechów własnych pacjenta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Wdechowa i wydechowa objętość pojedynczego oddechu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Wdechowa i wydechowa  objętość całkowitej wentylacji minutowej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szczytowe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Średnie ciśnienie w układzie oddechowym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pauzy wdechowej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PEEP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Ciśnienie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PEEPtotal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Podatność statyczna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Podatność dynamiczna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Opór wdechowy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Opór wydechowy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Graficzna prezentacja krzywych dynamicznych : Ciśnienie / czas, Przepływ /czas, Objętość / czas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Pętle oddechowe: Ciśnienie/objętość, Przepływ/objętość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jednoczesnej prezentacji przebiegów dynamicznych  i pętli oddechowych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Automatyczne ustawianie skali przy zapisie krzywych na monitorze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ALARMY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Braku zasilania w energię elektryczną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Braku zasilania w tlen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Objętości minutowej (wysokiej i niskiej)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Wysokiego ciśnienia w układzie pacjenta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Bezdechu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Stężenia tlenu w gazach wdechowych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Niezdolności do pracy (uszkodzenia kontroli elektronicznej lub mechanicznej)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Kategorie alarmów według ważności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ZASILANIE RESPIRATORA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w tlen ze źródła sprężonych gazów o zakresie ciśnienia min. 2-6 bar</w:t>
            </w:r>
            <w:r>
              <w:rPr>
                <w:rFonts w:ascii="Century Gothic" w:hAnsi="Century Gothic"/>
                <w:sz w:val="18"/>
              </w:rPr>
              <w:t xml:space="preserve">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w powietrze z wbudowanej w respirator turbiny powietrza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Przewód zasilania tlenowego o dł. min. </w:t>
            </w:r>
            <w:smartTag w:uri="urn:schemas-microsoft-com:office:smarttags" w:element="metricconverter">
              <w:smartTagPr>
                <w:attr w:name="ProductID" w:val="3 m"/>
              </w:smartTagPr>
              <w:r w:rsidRPr="00BF5649">
                <w:rPr>
                  <w:rFonts w:ascii="Century Gothic" w:hAnsi="Century Gothic"/>
                  <w:sz w:val="18"/>
                </w:rPr>
                <w:t>3 m</w:t>
              </w:r>
            </w:smartTag>
            <w:r w:rsidRPr="00BF5649">
              <w:rPr>
                <w:rFonts w:ascii="Century Gothic" w:hAnsi="Century Gothic"/>
                <w:sz w:val="18"/>
              </w:rPr>
              <w:t>. ze złączem dostosowanym do instalacji gazowej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Układ mieszania gazów  oddechowych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elektroniczno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- pneumatyczny z płynną regulacją 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Automatyczna kompensacja przepływu w przypadku nagłego zaniku podaży tlenu tak aby pacjent otrzymywał zaprogramowaną objętość oddechową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z wewnętrznej baterii na min. 30 minut pracy przy wszystkich rodzajach trybów i zakresach parametrów, w razie konieczności dłuższego transportu istnieje możliwość dołożenia dodatkowego modułu baterii bezpośrednio do obudowy respiratora bez udziału serwisu i bez użycia narzędzi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Napięcie zasilania AC 230 V ,</w:t>
            </w:r>
            <w:r w:rsidRPr="00BF5649">
              <w:rPr>
                <w:rFonts w:ascii="Century Gothic" w:hAnsi="Century Gothic"/>
                <w:sz w:val="18"/>
              </w:rPr>
              <w:sym w:font="Symbol" w:char="F0B1"/>
            </w:r>
            <w:r w:rsidRPr="00BF5649">
              <w:rPr>
                <w:rFonts w:ascii="Century Gothic" w:hAnsi="Century Gothic"/>
                <w:sz w:val="18"/>
              </w:rPr>
              <w:t xml:space="preserve"> 10%, 50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Hz</w:t>
            </w:r>
            <w:proofErr w:type="spellEnd"/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5E61B1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5E61B1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DODATKOWE INFORMACJE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stosowania filtrów przeciwbakteryjnych/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antywirusowcyh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na wdechu i wydechu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Zabezpieczenie przed przypadkową zmianą parametrów wentylacji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proofErr w:type="spellStart"/>
            <w:r w:rsidRPr="00BF5649">
              <w:rPr>
                <w:rFonts w:ascii="Century Gothic" w:hAnsi="Century Gothic"/>
                <w:sz w:val="18"/>
              </w:rPr>
              <w:t>Autotest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aparatu sprawdzający poprawność działania elementów pomiarowych, szczelność i podatność układu oddechowego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Respirator przeznaczony do pracy ze standardowymi dwuramiennymi jednorazowymi i wielorazowymi układami oddechowymi od różnych producentów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1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 xml:space="preserve">Adaptacyjny tryb wentylacji w zamkniętej pętli oddechowej wg wzoru </w:t>
            </w:r>
            <w:proofErr w:type="spellStart"/>
            <w:r w:rsidRPr="00BF5649">
              <w:rPr>
                <w:rFonts w:ascii="Century Gothic" w:hAnsi="Century Gothic"/>
                <w:bCs/>
                <w:iCs/>
                <w:sz w:val="18"/>
              </w:rPr>
              <w:t>Otis'a</w:t>
            </w:r>
            <w:proofErr w:type="spellEnd"/>
            <w:r w:rsidRPr="00BF5649">
              <w:rPr>
                <w:rFonts w:ascii="Century Gothic" w:hAnsi="Century Gothic"/>
                <w:bCs/>
                <w:iCs/>
                <w:sz w:val="18"/>
              </w:rPr>
              <w:t xml:space="preserve"> dla pacjentów aktywnych i pasywnych oddechowo lub 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2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tryb wentylacji z automatycznym przełączaniem pomiędzy trybem wentylacji kontrolowanej do trybu wentylacji wspomaganej i odwrotnie w zależności od inicjacji przez pacjenta oddechu spontanicznego bez aktywacji alarmu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lub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3</w:t>
            </w:r>
          </w:p>
          <w:p w:rsidR="005E61B1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rozpoznania braku oddechu spontanicznego wraz z funkcją wyłączenia alarmów związanych z przełączaniem pomiędzy trybami.</w:t>
            </w:r>
          </w:p>
          <w:p w:rsidR="005E61B1" w:rsidRPr="005E61B1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</w:rPr>
              <w:t xml:space="preserve">Podać rozwiązanie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5E61B1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5E61B1" w:rsidRPr="00BF5649" w:rsidTr="005E61B1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WYPOSAŻENIE – każdego respiratora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*poniżej opisane wyposażenie dotyczy 1 szt. respiratora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Wózek do przewożenia jednostki głównej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Uchwyt na butlę tlenową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Płuco testowe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Jednorazowe układy pacjenta – </w:t>
            </w:r>
            <w:r w:rsidRPr="00BF5649">
              <w:rPr>
                <w:rFonts w:ascii="Century Gothic" w:hAnsi="Century Gothic"/>
                <w:b/>
                <w:sz w:val="18"/>
              </w:rPr>
              <w:t>3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D04942" w:rsidRDefault="00D04942" w:rsidP="00D04942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  <w:r>
        <w:rPr>
          <w:rFonts w:ascii="Century Gothic" w:hAnsi="Century Gothic"/>
          <w:b/>
          <w:sz w:val="18"/>
        </w:rPr>
        <w:t xml:space="preserve">* </w:t>
      </w:r>
      <w:r>
        <w:rPr>
          <w:rFonts w:ascii="Century Gothic" w:hAnsi="Century Gothic"/>
          <w:b/>
          <w:sz w:val="18"/>
        </w:rPr>
        <w:tab/>
        <w:t>podać nr strony oferty, na której znajduje się potwierdzenie opisanego parametru technicznego od</w:t>
      </w:r>
      <w:r w:rsidRPr="000C52D0">
        <w:rPr>
          <w:rFonts w:ascii="Century Gothic" w:hAnsi="Century Gothic"/>
          <w:b/>
          <w:sz w:val="18"/>
        </w:rPr>
        <w:t>powi</w:t>
      </w:r>
      <w:r>
        <w:rPr>
          <w:rFonts w:ascii="Century Gothic" w:hAnsi="Century Gothic"/>
          <w:b/>
          <w:sz w:val="18"/>
        </w:rPr>
        <w:t>ednimi skanami instrukcji obsługi lub ska</w:t>
      </w:r>
      <w:r w:rsidRPr="000C52D0">
        <w:rPr>
          <w:rFonts w:ascii="Century Gothic" w:hAnsi="Century Gothic"/>
          <w:b/>
          <w:sz w:val="18"/>
        </w:rPr>
        <w:t>nami broszur w języku polskim</w:t>
      </w:r>
      <w:r>
        <w:rPr>
          <w:rFonts w:ascii="Century Gothic" w:hAnsi="Century Gothic"/>
          <w:b/>
          <w:sz w:val="18"/>
        </w:rPr>
        <w:t>,</w:t>
      </w:r>
    </w:p>
    <w:p w:rsidR="00D04942" w:rsidRPr="001C5A0C" w:rsidRDefault="00D04942" w:rsidP="00D04942">
      <w:pPr>
        <w:spacing w:line="276" w:lineRule="auto"/>
        <w:rPr>
          <w:rFonts w:ascii="Century Gothic" w:hAnsi="Century Gothic"/>
          <w:b/>
          <w:sz w:val="10"/>
        </w:rPr>
      </w:pPr>
    </w:p>
    <w:p w:rsidR="00D04942" w:rsidRDefault="00D04942" w:rsidP="00D04942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  <w:r>
        <w:rPr>
          <w:rFonts w:ascii="Century Gothic" w:hAnsi="Century Gothic"/>
          <w:b/>
          <w:sz w:val="18"/>
        </w:rPr>
        <w:t xml:space="preserve">** </w:t>
      </w:r>
      <w:r>
        <w:rPr>
          <w:rFonts w:ascii="Century Gothic" w:hAnsi="Century Gothic"/>
          <w:b/>
          <w:sz w:val="18"/>
        </w:rPr>
        <w:tab/>
        <w:t>podać nr strony oferty, na której znajduje się potwierdzenie opisanego parametru technicznego – parametr może zostać potwierdzony zarówno w sposób opisany w „*” lub za pomocą oświadczenia producenta lub Wykonawcy,</w:t>
      </w:r>
    </w:p>
    <w:p w:rsidR="00D04942" w:rsidRDefault="00D04942" w:rsidP="00D04942">
      <w:pPr>
        <w:tabs>
          <w:tab w:val="left" w:pos="2067"/>
        </w:tabs>
        <w:spacing w:line="276" w:lineRule="auto"/>
        <w:rPr>
          <w:rFonts w:ascii="Century Gothic" w:hAnsi="Century Gothic"/>
          <w:b/>
          <w:sz w:val="1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="005E61B1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60</w:t>
            </w:r>
            <w:r w:rsidR="00662E75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61B1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miesięcy 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BA7045" w:rsidRPr="00D0018A" w:rsidRDefault="00BA7045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0018A">
              <w:rPr>
                <w:rFonts w:ascii="Century Gothic" w:hAnsi="Century Gothic" w:cs="Calibri"/>
                <w:sz w:val="16"/>
                <w:szCs w:val="16"/>
              </w:rPr>
              <w:t>Okres wymagany – 0 pkt.,</w:t>
            </w:r>
          </w:p>
          <w:p w:rsidR="00BA7045" w:rsidRPr="00D0018A" w:rsidRDefault="005E61B1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Poniżej 61 - 66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miesięcy gwarancji – 1 pkt.,</w:t>
            </w:r>
          </w:p>
          <w:p w:rsidR="00BA7045" w:rsidRPr="00D0018A" w:rsidRDefault="005E61B1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Od 67 – 71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miesięcy gwarancji – 15 pkt.,</w:t>
            </w:r>
          </w:p>
          <w:p w:rsidR="00E73C7C" w:rsidRPr="00E278EF" w:rsidRDefault="005E61B1" w:rsidP="00BA7045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72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i więcej miesięcy gwarancji - 35 pkt.,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5E61B1" w:rsidRPr="006C27DF" w:rsidRDefault="00B05DDF" w:rsidP="005E61B1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br w:type="column"/>
      </w:r>
      <w:r w:rsidR="005E61B1" w:rsidRPr="006C27DF">
        <w:rPr>
          <w:rFonts w:ascii="Century Gothic" w:hAnsi="Century Gothic"/>
          <w:b/>
          <w:bCs/>
          <w:sz w:val="22"/>
          <w:szCs w:val="22"/>
        </w:rPr>
        <w:t>Pogwarancyjna obsługa serwisowa</w:t>
      </w:r>
      <w:r w:rsidR="005E61B1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5E61B1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5E61B1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5E61B1" w:rsidRPr="00FA0CC9" w:rsidTr="007B4D6B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34438D" w:rsidRDefault="005E61B1" w:rsidP="007B4D6B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5E61B1" w:rsidRPr="00FA0CC9" w:rsidTr="007B4D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5E61B1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7B4D6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5E61B1" w:rsidRPr="00FA0CC9" w:rsidRDefault="005E61B1" w:rsidP="001D2403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5E61B1" w:rsidRPr="00FA0CC9" w:rsidTr="007B4D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5E61B1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7B4D6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5E61B1" w:rsidRPr="00FA0CC9" w:rsidRDefault="005E61B1" w:rsidP="001D2403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</w:tbl>
    <w:p w:rsidR="00B05DDF" w:rsidRPr="00FA0CC9" w:rsidRDefault="005E61B1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="00B05DDF" w:rsidRPr="00FA0CC9">
        <w:rPr>
          <w:rFonts w:ascii="Century Gothic" w:hAnsi="Century Gothic"/>
          <w:b/>
        </w:rPr>
        <w:t xml:space="preserve">Rozdział nr III – </w:t>
      </w:r>
      <w:r w:rsidR="00B05DDF"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5E61B1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z późniejszymi zmianami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BA704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,</w:t>
            </w:r>
          </w:p>
          <w:p w:rsidR="00BA7045" w:rsidRDefault="005357F0" w:rsidP="00BA704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5E61B1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z późniejszymi zmianami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</w:t>
            </w:r>
          </w:p>
          <w:p w:rsidR="005357F0" w:rsidRPr="00FA0CC9" w:rsidRDefault="00530CF8" w:rsidP="00BA704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="002B621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BA7045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oprogramowanie), kody z aktualnie obowiązującego słownika NFZ (o ile występują)</w:t>
            </w:r>
            <w:r w:rsidR="00BA7045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paszport techniczny na każde urządzenie osobno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min. dwa szkolenia: pierwsze podczas uruchomienia drugie w dowolnym terminie ustalonym pomiędzy zamawiającym a wykonawcą w trakcie trwania gwarancji</w:t>
            </w:r>
            <w:r w:rsidR="001D2403">
              <w:rPr>
                <w:rFonts w:ascii="Century Gothic" w:hAnsi="Century Gothic"/>
                <w:sz w:val="20"/>
                <w:szCs w:val="18"/>
              </w:rPr>
              <w:t xml:space="preserve">. </w:t>
            </w:r>
            <w:r w:rsidR="001D2403" w:rsidRPr="00027862">
              <w:rPr>
                <w:rFonts w:ascii="Century Gothic" w:hAnsi="Century Gothic"/>
                <w:color w:val="7030A0"/>
                <w:sz w:val="20"/>
                <w:szCs w:val="18"/>
              </w:rPr>
              <w:t>Jeżeli dostawa odbędzie się w trakcie trwania stanu zagrożenia epidemiologicznego lub epidemii -  szkolenia zostaną przeprowadzone w postaci wideokonferencji w dowolnym terminie ustalonym pomiędzy zamawiającym a wykonawcą w trakcie trwania gwarancji.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D6B" w:rsidRDefault="007B4D6B" w:rsidP="00D97AEB">
      <w:r>
        <w:separator/>
      </w:r>
    </w:p>
  </w:endnote>
  <w:endnote w:type="continuationSeparator" w:id="0">
    <w:p w:rsidR="007B4D6B" w:rsidRDefault="007B4D6B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7B4D6B" w:rsidRDefault="007B4D6B">
            <w:pPr>
              <w:pStyle w:val="Stopka"/>
              <w:jc w:val="center"/>
            </w:pPr>
          </w:p>
          <w:p w:rsidR="007B4D6B" w:rsidRPr="0096098D" w:rsidRDefault="007B4D6B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150E04">
              <w:rPr>
                <w:rFonts w:ascii="Century Gothic" w:hAnsi="Century Gothic"/>
                <w:b/>
                <w:bCs/>
                <w:noProof/>
              </w:rPr>
              <w:t>16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150E04">
              <w:rPr>
                <w:rFonts w:ascii="Century Gothic" w:hAnsi="Century Gothic"/>
                <w:b/>
                <w:bCs/>
                <w:noProof/>
              </w:rPr>
              <w:t>16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B4D6B" w:rsidRDefault="007B4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D6B" w:rsidRDefault="007B4D6B" w:rsidP="00D97AEB">
      <w:r>
        <w:separator/>
      </w:r>
    </w:p>
  </w:footnote>
  <w:footnote w:type="continuationSeparator" w:id="0">
    <w:p w:rsidR="007B4D6B" w:rsidRDefault="007B4D6B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D6B" w:rsidRDefault="007B4D6B" w:rsidP="00E831F2">
    <w:pPr>
      <w:pStyle w:val="Nagwek"/>
      <w:rPr>
        <w:rFonts w:ascii="Century Gothic" w:hAnsi="Century Gothic"/>
        <w:b/>
        <w:kern w:val="2"/>
      </w:rPr>
    </w:pPr>
    <w:r>
      <w:rPr>
        <w:rFonts w:ascii="Century Gothic" w:hAnsi="Century Gothic"/>
      </w:rPr>
      <w:t xml:space="preserve">Znak sprawy: </w:t>
    </w:r>
    <w:r w:rsidRPr="00526D82">
      <w:rPr>
        <w:rFonts w:ascii="Century Gothic" w:hAnsi="Century Gothic"/>
      </w:rPr>
      <w:t>AM_10_2020_150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 xml:space="preserve">Załącznik nr 2 </w:t>
    </w:r>
  </w:p>
  <w:p w:rsidR="007B4D6B" w:rsidRPr="00E831F2" w:rsidRDefault="007B4D6B" w:rsidP="00E83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2790526"/>
    <w:multiLevelType w:val="hybridMultilevel"/>
    <w:tmpl w:val="94225E5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823CF"/>
    <w:multiLevelType w:val="hybridMultilevel"/>
    <w:tmpl w:val="47DAF0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5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112DE"/>
    <w:multiLevelType w:val="hybridMultilevel"/>
    <w:tmpl w:val="47DAF0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18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23"/>
  </w:num>
  <w:num w:numId="9">
    <w:abstractNumId w:val="27"/>
  </w:num>
  <w:num w:numId="10">
    <w:abstractNumId w:val="21"/>
  </w:num>
  <w:num w:numId="11">
    <w:abstractNumId w:val="19"/>
  </w:num>
  <w:num w:numId="12">
    <w:abstractNumId w:val="34"/>
  </w:num>
  <w:num w:numId="13">
    <w:abstractNumId w:val="11"/>
  </w:num>
  <w:num w:numId="14">
    <w:abstractNumId w:val="37"/>
  </w:num>
  <w:num w:numId="15">
    <w:abstractNumId w:val="31"/>
  </w:num>
  <w:num w:numId="16">
    <w:abstractNumId w:val="28"/>
  </w:num>
  <w:num w:numId="17">
    <w:abstractNumId w:val="8"/>
  </w:num>
  <w:num w:numId="18">
    <w:abstractNumId w:val="6"/>
  </w:num>
  <w:num w:numId="19">
    <w:abstractNumId w:val="22"/>
  </w:num>
  <w:num w:numId="20">
    <w:abstractNumId w:val="35"/>
  </w:num>
  <w:num w:numId="21">
    <w:abstractNumId w:val="32"/>
  </w:num>
  <w:num w:numId="22">
    <w:abstractNumId w:val="39"/>
  </w:num>
  <w:num w:numId="23">
    <w:abstractNumId w:val="20"/>
  </w:num>
  <w:num w:numId="24">
    <w:abstractNumId w:val="33"/>
  </w:num>
  <w:num w:numId="25">
    <w:abstractNumId w:val="5"/>
  </w:num>
  <w:num w:numId="26">
    <w:abstractNumId w:val="15"/>
  </w:num>
  <w:num w:numId="27">
    <w:abstractNumId w:val="24"/>
  </w:num>
  <w:num w:numId="28">
    <w:abstractNumId w:val="25"/>
  </w:num>
  <w:num w:numId="29">
    <w:abstractNumId w:val="12"/>
  </w:num>
  <w:num w:numId="30">
    <w:abstractNumId w:val="29"/>
  </w:num>
  <w:num w:numId="31">
    <w:abstractNumId w:val="36"/>
  </w:num>
  <w:num w:numId="32">
    <w:abstractNumId w:val="10"/>
  </w:num>
  <w:num w:numId="33">
    <w:abstractNumId w:val="13"/>
  </w:num>
  <w:num w:numId="34">
    <w:abstractNumId w:val="17"/>
  </w:num>
  <w:num w:numId="35">
    <w:abstractNumId w:val="38"/>
  </w:num>
  <w:num w:numId="36">
    <w:abstractNumId w:val="14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autoHyphenation/>
  <w:hyphenationZone w:val="17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27862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01B1"/>
    <w:rsid w:val="000B101B"/>
    <w:rsid w:val="000B2F8F"/>
    <w:rsid w:val="000B649A"/>
    <w:rsid w:val="000C0D3F"/>
    <w:rsid w:val="000C41F4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6514"/>
    <w:rsid w:val="00127212"/>
    <w:rsid w:val="0013011D"/>
    <w:rsid w:val="001307AF"/>
    <w:rsid w:val="00134B53"/>
    <w:rsid w:val="00134E63"/>
    <w:rsid w:val="00137510"/>
    <w:rsid w:val="00143C94"/>
    <w:rsid w:val="00146B89"/>
    <w:rsid w:val="00150E04"/>
    <w:rsid w:val="00150EFA"/>
    <w:rsid w:val="00152EDA"/>
    <w:rsid w:val="001609C6"/>
    <w:rsid w:val="0016228A"/>
    <w:rsid w:val="00162D71"/>
    <w:rsid w:val="00163B06"/>
    <w:rsid w:val="00166F93"/>
    <w:rsid w:val="00167726"/>
    <w:rsid w:val="001717A7"/>
    <w:rsid w:val="00176361"/>
    <w:rsid w:val="00180202"/>
    <w:rsid w:val="0018335E"/>
    <w:rsid w:val="00184EE9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D2403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24BEC"/>
    <w:rsid w:val="0023084E"/>
    <w:rsid w:val="002376D1"/>
    <w:rsid w:val="002435A0"/>
    <w:rsid w:val="00247111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B6219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46DFA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DD5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10396"/>
    <w:rsid w:val="00411F5A"/>
    <w:rsid w:val="00413D1A"/>
    <w:rsid w:val="004143B1"/>
    <w:rsid w:val="004162BB"/>
    <w:rsid w:val="0041689D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26D82"/>
    <w:rsid w:val="00530CF8"/>
    <w:rsid w:val="00530EE1"/>
    <w:rsid w:val="00532725"/>
    <w:rsid w:val="005357F0"/>
    <w:rsid w:val="00541957"/>
    <w:rsid w:val="005445C6"/>
    <w:rsid w:val="005445D7"/>
    <w:rsid w:val="0054688B"/>
    <w:rsid w:val="0055071D"/>
    <w:rsid w:val="00552983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E61B1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62E75"/>
    <w:rsid w:val="00664125"/>
    <w:rsid w:val="006708ED"/>
    <w:rsid w:val="00672282"/>
    <w:rsid w:val="00672AA8"/>
    <w:rsid w:val="00673254"/>
    <w:rsid w:val="00674946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A610A"/>
    <w:rsid w:val="006C30E1"/>
    <w:rsid w:val="006C4FE3"/>
    <w:rsid w:val="006C5CF4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37D9E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B4D6B"/>
    <w:rsid w:val="007C36C0"/>
    <w:rsid w:val="007D20C8"/>
    <w:rsid w:val="007D296D"/>
    <w:rsid w:val="007D3D63"/>
    <w:rsid w:val="007D7CB5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0968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50C"/>
    <w:rsid w:val="009239E4"/>
    <w:rsid w:val="00925435"/>
    <w:rsid w:val="0092648C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96458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B02E12"/>
    <w:rsid w:val="00B03F22"/>
    <w:rsid w:val="00B05DDF"/>
    <w:rsid w:val="00B14422"/>
    <w:rsid w:val="00B225D9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933A3"/>
    <w:rsid w:val="00B93A54"/>
    <w:rsid w:val="00B94397"/>
    <w:rsid w:val="00B94DC2"/>
    <w:rsid w:val="00B9720A"/>
    <w:rsid w:val="00BA2A79"/>
    <w:rsid w:val="00BA31AD"/>
    <w:rsid w:val="00BA7045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BF5649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63412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1313"/>
    <w:rsid w:val="00CF31FE"/>
    <w:rsid w:val="00D0018A"/>
    <w:rsid w:val="00D03EAB"/>
    <w:rsid w:val="00D04942"/>
    <w:rsid w:val="00D13E9D"/>
    <w:rsid w:val="00D20BB6"/>
    <w:rsid w:val="00D21596"/>
    <w:rsid w:val="00D265C5"/>
    <w:rsid w:val="00D266E2"/>
    <w:rsid w:val="00D27CC5"/>
    <w:rsid w:val="00D40AAB"/>
    <w:rsid w:val="00D53A11"/>
    <w:rsid w:val="00D53B0C"/>
    <w:rsid w:val="00D54F7F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175FB"/>
    <w:rsid w:val="00E2046B"/>
    <w:rsid w:val="00E2333B"/>
    <w:rsid w:val="00E278EF"/>
    <w:rsid w:val="00E32CA5"/>
    <w:rsid w:val="00E35F66"/>
    <w:rsid w:val="00E455FE"/>
    <w:rsid w:val="00E46C48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31F2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04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112E7"/>
    <w:rsid w:val="00F21C2F"/>
    <w:rsid w:val="00F2763D"/>
    <w:rsid w:val="00F27CA2"/>
    <w:rsid w:val="00F308A9"/>
    <w:rsid w:val="00F336C6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97999"/>
    <w:rsid w:val="00FA63FC"/>
    <w:rsid w:val="00FB10A8"/>
    <w:rsid w:val="00FB17AC"/>
    <w:rsid w:val="00FC609E"/>
    <w:rsid w:val="00FD2327"/>
    <w:rsid w:val="00FD2580"/>
    <w:rsid w:val="00FD2CC4"/>
    <w:rsid w:val="00FD43F7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541A1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75135-F23E-4737-9A56-E875F652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3150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2020-09-01T05:35:00Z</dcterms:created>
  <dcterms:modified xsi:type="dcterms:W3CDTF">2020-11-02T14:16:00Z</dcterms:modified>
</cp:coreProperties>
</file>